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12045"/>
      <w:bookmarkStart w:id="1" w:name="_Toc23967"/>
      <w:bookmarkStart w:id="2" w:name="_Toc12050"/>
      <w:bookmarkStart w:id="3" w:name="_Toc26826"/>
      <w:bookmarkStart w:id="4" w:name="_Toc10731"/>
      <w:bookmarkStart w:id="5" w:name="_Toc32271"/>
      <w:bookmarkStart w:id="6" w:name="_Toc28904"/>
      <w:bookmarkStart w:id="7" w:name="_Toc23027"/>
      <w:bookmarkStart w:id="8" w:name="_Toc10508"/>
      <w:bookmarkStart w:id="9" w:name="_Toc21398"/>
      <w:r>
        <w:rPr>
          <w:rFonts w:hint="eastAsia" w:ascii="方正小标宋简体" w:hAnsi="方正小标宋简体" w:eastAsia="方正小标宋简体" w:cs="方正小标宋简体"/>
          <w:color w:val="auto"/>
          <w:sz w:val="44"/>
          <w:szCs w:val="44"/>
          <w:lang w:val="en-US" w:eastAsia="zh-CN"/>
        </w:rPr>
        <w:t xml:space="preserve">第三章 </w:t>
      </w:r>
      <w:bookmarkStart w:id="62" w:name="_GoBack"/>
      <w:r>
        <w:rPr>
          <w:rFonts w:hint="eastAsia" w:ascii="方正小标宋简体" w:hAnsi="方正小标宋简体" w:eastAsia="方正小标宋简体" w:cs="方正小标宋简体"/>
          <w:color w:val="auto"/>
          <w:sz w:val="44"/>
          <w:szCs w:val="44"/>
          <w:lang w:val="en-US" w:eastAsia="zh-CN"/>
        </w:rPr>
        <w:t>打造坚强韧性的能源体系</w:t>
      </w:r>
      <w:bookmarkEnd w:id="62"/>
      <w:bookmarkEnd w:id="0"/>
      <w:bookmarkEnd w:id="1"/>
      <w:bookmarkEnd w:id="2"/>
      <w:bookmarkEnd w:id="3"/>
      <w:bookmarkEnd w:id="4"/>
      <w:bookmarkEnd w:id="5"/>
      <w:bookmarkEnd w:id="6"/>
      <w:bookmarkEnd w:id="7"/>
      <w:bookmarkEnd w:id="8"/>
      <w:bookmarkEnd w:id="9"/>
    </w:p>
    <w:p>
      <w:pPr>
        <w:pStyle w:val="2"/>
        <w:numPr>
          <w:ilvl w:val="0"/>
          <w:numId w:val="0"/>
        </w:numPr>
        <w:ind w:leftChars="0"/>
        <w:rPr>
          <w:rFonts w:hint="default"/>
          <w:lang w:val="en-US" w:eastAsia="zh-CN"/>
        </w:rPr>
      </w:pP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0" w:name="_Toc24975"/>
      <w:bookmarkStart w:id="11" w:name="_Toc22204"/>
      <w:bookmarkStart w:id="12" w:name="_Toc15867"/>
      <w:bookmarkStart w:id="13" w:name="_Toc8847_WPSOffice_Level2"/>
      <w:bookmarkStart w:id="14" w:name="_Toc11261_WPSOffice_Level2"/>
      <w:bookmarkStart w:id="15" w:name="_Toc15460"/>
      <w:bookmarkStart w:id="16" w:name="_Toc2518"/>
      <w:bookmarkStart w:id="17" w:name="_Toc3235"/>
      <w:bookmarkStart w:id="18" w:name="_Toc20282"/>
      <w:bookmarkStart w:id="19" w:name="_Toc11494"/>
      <w:bookmarkStart w:id="20" w:name="_Toc61515276"/>
      <w:bookmarkStart w:id="21" w:name="_Toc8872"/>
      <w:bookmarkStart w:id="22" w:name="_Toc30993"/>
      <w:r>
        <w:rPr>
          <w:rFonts w:ascii="Times New Roman" w:hAnsi="Times New Roman" w:eastAsia="黑体" w:cs="Times New Roman"/>
          <w:color w:val="auto"/>
          <w:sz w:val="32"/>
          <w:szCs w:val="32"/>
        </w:rPr>
        <w:t>一、强化电力安全保障</w:t>
      </w:r>
      <w:bookmarkEnd w:id="10"/>
      <w:bookmarkEnd w:id="11"/>
      <w:bookmarkEnd w:id="12"/>
      <w:bookmarkEnd w:id="13"/>
      <w:bookmarkEnd w:id="14"/>
      <w:bookmarkEnd w:id="15"/>
      <w:bookmarkEnd w:id="16"/>
      <w:bookmarkEnd w:id="17"/>
      <w:bookmarkEnd w:id="18"/>
      <w:bookmarkEnd w:id="19"/>
      <w:bookmarkEnd w:id="20"/>
      <w:bookmarkEnd w:id="21"/>
      <w:bookmarkEnd w:id="22"/>
    </w:p>
    <w:p>
      <w:pPr>
        <w:ind w:firstLine="640" w:firstLineChars="200"/>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加强电力基础设施建设和改造升级。按照“以新带旧、适度超前、总体匹配”规划思路，</w:t>
      </w:r>
      <w:r>
        <w:rPr>
          <w:rFonts w:hint="eastAsia" w:ascii="仿宋_GB2312" w:hAnsi="仿宋_GB2312" w:eastAsia="仿宋_GB2312" w:cs="仿宋_GB2312"/>
          <w:b w:val="0"/>
          <w:bCs w:val="0"/>
          <w:color w:val="auto"/>
          <w:sz w:val="32"/>
          <w:szCs w:val="32"/>
          <w:lang w:eastAsia="zh-CN"/>
        </w:rPr>
        <w:t>推进以新能源为主体的新型电力系统建设。</w:t>
      </w:r>
      <w:r>
        <w:rPr>
          <w:rFonts w:hint="eastAsia" w:ascii="仿宋_GB2312" w:hAnsi="仿宋_GB2312" w:eastAsia="仿宋_GB2312" w:cs="仿宋_GB2312"/>
          <w:color w:val="auto"/>
          <w:sz w:val="32"/>
          <w:szCs w:val="32"/>
        </w:rPr>
        <w:t>500千伏层面依托特高压，建设北京西至新航城特高压下送线路，加强引进地区外部清洁电力能力。规划建设</w:t>
      </w:r>
      <w:r>
        <w:rPr>
          <w:rFonts w:hint="eastAsia" w:ascii="仿宋_GB2312" w:hAnsi="仿宋_GB2312" w:eastAsia="仿宋_GB2312" w:cs="仿宋_GB2312"/>
          <w:b w:val="0"/>
          <w:bCs w:val="0"/>
          <w:color w:val="auto"/>
          <w:sz w:val="32"/>
          <w:szCs w:val="32"/>
          <w:lang w:eastAsia="zh-CN"/>
        </w:rPr>
        <w:t>金华寺、自贸区、</w:t>
      </w:r>
      <w:r>
        <w:rPr>
          <w:rFonts w:hint="eastAsia" w:ascii="仿宋_GB2312" w:hAnsi="仿宋_GB2312" w:eastAsia="仿宋_GB2312" w:cs="仿宋_GB2312"/>
          <w:color w:val="auto"/>
          <w:sz w:val="32"/>
          <w:szCs w:val="32"/>
        </w:rPr>
        <w:t>医药园等220千伏变电站3座，完善新航城500千伏站下送通道，建设</w:t>
      </w:r>
      <w:r>
        <w:rPr>
          <w:rFonts w:hint="eastAsia" w:ascii="仿宋_GB2312" w:hAnsi="仿宋_GB2312" w:eastAsia="仿宋_GB2312" w:cs="仿宋_GB2312"/>
          <w:b w:val="0"/>
          <w:bCs w:val="0"/>
          <w:color w:val="auto"/>
          <w:sz w:val="32"/>
          <w:szCs w:val="32"/>
          <w:lang w:eastAsia="zh-CN"/>
        </w:rPr>
        <w:t>综保区、新建村</w:t>
      </w:r>
      <w:r>
        <w:rPr>
          <w:rFonts w:hint="eastAsia" w:ascii="仿宋_GB2312" w:hAnsi="仿宋_GB2312" w:eastAsia="仿宋_GB2312" w:cs="仿宋_GB2312"/>
          <w:b w:val="0"/>
          <w:bCs w:val="0"/>
          <w:color w:val="auto"/>
          <w:sz w:val="32"/>
          <w:szCs w:val="32"/>
          <w:highlight w:val="none"/>
          <w:lang w:eastAsia="zh-CN"/>
        </w:rPr>
        <w:t>、八家等110千伏变电站15座</w:t>
      </w:r>
      <w:r>
        <w:rPr>
          <w:rFonts w:hint="eastAsia" w:ascii="仿宋_GB2312" w:hAnsi="仿宋_GB2312" w:eastAsia="仿宋_GB2312" w:cs="仿宋_GB2312"/>
          <w:color w:val="auto"/>
          <w:sz w:val="32"/>
          <w:szCs w:val="32"/>
          <w:highlight w:val="none"/>
        </w:rPr>
        <w:t>。全区110千伏及以上设备可靠</w:t>
      </w:r>
      <w:r>
        <w:rPr>
          <w:rFonts w:hint="eastAsia" w:ascii="仿宋_GB2312" w:hAnsi="仿宋_GB2312" w:eastAsia="仿宋_GB2312" w:cs="仿宋_GB2312"/>
          <w:color w:val="auto"/>
          <w:sz w:val="32"/>
          <w:szCs w:val="32"/>
        </w:rPr>
        <w:t>性进一步增强；10千伏线路绝缘率100%，10千伏线路联络率100%，配电自动化覆盖率100%，智能电表覆盖率100%，全区供电可靠性达到99.98%。</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大兴国际机场临空经济区构建“500千伏双电源点，220千伏、110千伏双链式接线，10千伏双环网”的坚强网架结构，</w:t>
      </w:r>
      <w:r>
        <w:rPr>
          <w:rFonts w:hint="eastAsia" w:ascii="仿宋_GB2312" w:hAnsi="仿宋_GB2312" w:eastAsia="仿宋_GB2312" w:cs="仿宋_GB2312"/>
          <w:color w:val="auto"/>
          <w:sz w:val="32"/>
          <w:szCs w:val="32"/>
          <w:lang w:val="en-US" w:eastAsia="zh-CN"/>
        </w:rPr>
        <w:t>重点区域</w:t>
      </w:r>
      <w:r>
        <w:rPr>
          <w:rFonts w:hint="eastAsia" w:ascii="仿宋_GB2312" w:hAnsi="仿宋_GB2312" w:eastAsia="仿宋_GB2312" w:cs="仿宋_GB2312"/>
          <w:color w:val="auto"/>
          <w:sz w:val="32"/>
          <w:szCs w:val="32"/>
        </w:rPr>
        <w:t>供电可靠性达到99.999%，年户均停电时间不高于5分钟。加强农村电网建设，到2025年，农村地区电压合格率达到99.9%。加快新城西片区电网应急抢修中心建设，全面提升地区供电服务质量。</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完善交通用能布局推进绿色转型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推进新能源电动汽车在交通领域规模化应用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服务配套政策，引入社会资本在高速公路服务区、商场、办公楼等公共区域建设满足电动汽车、电动摩托车、电动自行车等各类车辆需求的充电设施，在全区范围内实施停车场充电桩加装改造工程，结合新能源汽车小镇采育镇规划建设，加快建设储能充电桩、快速充电桩、光储充电站、移动充电等充电基础设施示范项目。到2025年，基本建成与大兴区城市交通相配套、城区平均服务半径1.5公里、镇村平均服务半径2.5公里的公用充电设施网络服务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大兴国际机场临空经济区等重点区域0.9km充电服务圈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满足地区新能源汽车充电需求，助力大兴区智慧城市建设。</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23" w:name="_Toc32058"/>
      <w:bookmarkStart w:id="24" w:name="_Toc7669"/>
      <w:bookmarkStart w:id="25" w:name="_Toc31900_WPSOffice_Level2"/>
      <w:bookmarkStart w:id="26" w:name="_Toc30552"/>
      <w:bookmarkStart w:id="27" w:name="_Toc29449"/>
      <w:bookmarkStart w:id="28" w:name="_Toc20388"/>
      <w:bookmarkStart w:id="29" w:name="_Toc9951"/>
      <w:bookmarkStart w:id="30" w:name="_Toc19388"/>
      <w:bookmarkStart w:id="31" w:name="_Toc61515277"/>
      <w:bookmarkStart w:id="32" w:name="_Toc28930"/>
      <w:bookmarkStart w:id="33" w:name="_Toc10020"/>
      <w:bookmarkStart w:id="34" w:name="_Toc18574_WPSOffice_Level2"/>
      <w:bookmarkStart w:id="35" w:name="_Toc3841"/>
      <w:r>
        <w:rPr>
          <w:rFonts w:ascii="Times New Roman" w:hAnsi="Times New Roman" w:eastAsia="黑体" w:cs="Times New Roman"/>
          <w:color w:val="auto"/>
          <w:sz w:val="32"/>
          <w:szCs w:val="32"/>
        </w:rPr>
        <w:t>二、完善燃气供给</w:t>
      </w:r>
      <w:r>
        <w:rPr>
          <w:rFonts w:hint="eastAsia" w:ascii="Times New Roman" w:hAnsi="Times New Roman" w:eastAsia="黑体" w:cs="Times New Roman"/>
          <w:color w:val="auto"/>
          <w:sz w:val="32"/>
          <w:szCs w:val="32"/>
        </w:rPr>
        <w:t>体系</w:t>
      </w:r>
      <w:bookmarkEnd w:id="23"/>
      <w:bookmarkEnd w:id="24"/>
      <w:bookmarkEnd w:id="25"/>
      <w:bookmarkEnd w:id="26"/>
      <w:bookmarkEnd w:id="27"/>
      <w:bookmarkEnd w:id="28"/>
      <w:bookmarkEnd w:id="29"/>
      <w:bookmarkEnd w:id="30"/>
      <w:bookmarkEnd w:id="31"/>
      <w:bookmarkEnd w:id="32"/>
      <w:bookmarkEnd w:id="33"/>
      <w:bookmarkEnd w:id="34"/>
      <w:bookmarkEnd w:id="3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城镇燃气输配管网系统，规划建设城南门站、京台高压A管线、魏永路+104国道+采林路次高压A管线、庞安路次高压A管线、大礼路次高压A、永兴河北路次高压A管线、南中轴次高压A管线等，在适当区域修建高中压调压站（箱）、中低压调压站（箱）辐射周边用户，全区输配管网逐步形成七横五纵的高压供气管网布局，提升南城天然气供应保障，实现大兴区管道气供应全覆盖，保障供气安全。</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快实施村镇管网系统加密工程，因地制宜推广农村天然气进村入户工程，2025年全区管道天然气镇镇通。规范整合燃气供应市场，清退零散供气企业，持续加大液化石油气隐患查处力度，清理整顿不规范的液化石油气站点，强化配送体系建设，保障市场供需平衡和安全运行。</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加强老旧小区重点用户群体用气安全消隐，有序推进液化天然气、压缩天然气以及液化石油气用户等统筹纳入市政管道气供应保障体系，加强后期燃气输配体系运维与安全检查，不断优化提升便民服务质量。</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36" w:name="_Toc15843"/>
      <w:bookmarkStart w:id="37" w:name="_Toc12199"/>
      <w:bookmarkStart w:id="38" w:name="_Toc61515278"/>
      <w:bookmarkStart w:id="39" w:name="_Toc9428"/>
      <w:bookmarkStart w:id="40" w:name="_Toc31393"/>
      <w:bookmarkStart w:id="41" w:name="_Toc171"/>
      <w:bookmarkStart w:id="42" w:name="_Toc12619_WPSOffice_Level2"/>
      <w:bookmarkStart w:id="43" w:name="_Toc7080_WPSOffice_Level2"/>
      <w:bookmarkStart w:id="44" w:name="_Toc8791"/>
      <w:bookmarkStart w:id="45" w:name="_Toc11024"/>
      <w:bookmarkStart w:id="46" w:name="_Toc12082"/>
      <w:bookmarkStart w:id="47" w:name="_Toc6324"/>
      <w:bookmarkStart w:id="48" w:name="_Toc24283"/>
      <w:r>
        <w:rPr>
          <w:rFonts w:ascii="Times New Roman" w:hAnsi="Times New Roman" w:eastAsia="黑体" w:cs="Times New Roman"/>
          <w:color w:val="auto"/>
          <w:sz w:val="32"/>
          <w:szCs w:val="32"/>
        </w:rPr>
        <w:t>三、深化清洁供热</w:t>
      </w:r>
      <w:r>
        <w:rPr>
          <w:rFonts w:hint="eastAsia" w:ascii="Times New Roman" w:hAnsi="Times New Roman" w:eastAsia="黑体" w:cs="Times New Roman"/>
          <w:color w:val="auto"/>
          <w:sz w:val="32"/>
          <w:szCs w:val="32"/>
        </w:rPr>
        <w:t>发展</w:t>
      </w:r>
      <w:bookmarkEnd w:id="36"/>
      <w:bookmarkEnd w:id="37"/>
      <w:bookmarkEnd w:id="38"/>
      <w:bookmarkEnd w:id="39"/>
      <w:bookmarkEnd w:id="40"/>
      <w:bookmarkEnd w:id="41"/>
      <w:bookmarkEnd w:id="42"/>
      <w:bookmarkEnd w:id="43"/>
      <w:bookmarkEnd w:id="44"/>
      <w:bookmarkEnd w:id="45"/>
      <w:bookmarkEnd w:id="46"/>
      <w:bookmarkEnd w:id="47"/>
      <w:bookmarkEnd w:id="48"/>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大兴与周边市区供热协同发展，整合优化区域供热资源，深化清洁供热体系，充分发挥地热资源优势，构建以城市集中供热、地热及热泵系统为主，区域燃气锅炉、储能多种方式为补充的多能互补、互为融合的清洁供热结构布局。</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进噪声安置房、礼贤安置房三期供热锅炉房、生命健康产业园、国际航空社区、0107街区产业园区前期开发项目、国际会展及国际消费枢纽能源中心建设，因地制宜建设污水源热泵、地源热泵站。新建公共建筑优先采用热泵等可再生能源供热。</w:t>
      </w:r>
    </w:p>
    <w:p>
      <w:pPr>
        <w:widowControl w:val="0"/>
        <w:wordWrap/>
        <w:adjustRightInd/>
        <w:snapToGrid/>
        <w:spacing w:line="560" w:lineRule="exact"/>
        <w:ind w:firstLine="640" w:firstLineChars="200"/>
        <w:textAlignment w:val="auto"/>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优化新城热网集中供热系统，合理发展燃气供热，统筹整合老城区分散的小型燃气锅炉，实施燃气锅炉烟气余热回收利用，提高系统能效。</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大兴新城东片区集中供热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大兴新城西片区新建居住类建筑集中供热，非居住类项目结合现有资源优先考虑新能源和可再生能源供热。</w:t>
      </w:r>
    </w:p>
    <w:p>
      <w:pPr>
        <w:widowControl w:val="0"/>
        <w:wordWrap/>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49" w:name="_Toc25917_WPSOffice_Level2"/>
      <w:bookmarkStart w:id="50" w:name="_Toc2315"/>
      <w:bookmarkStart w:id="51" w:name="_Toc12"/>
      <w:bookmarkStart w:id="52" w:name="_Toc17842"/>
      <w:bookmarkStart w:id="53" w:name="_Toc24214_WPSOffice_Level2"/>
      <w:bookmarkStart w:id="54" w:name="_Toc61515279"/>
      <w:bookmarkStart w:id="55" w:name="_Toc12794"/>
      <w:bookmarkStart w:id="56" w:name="_Toc19084"/>
      <w:bookmarkStart w:id="57" w:name="_Toc13058"/>
      <w:bookmarkStart w:id="58" w:name="_Toc8796"/>
      <w:bookmarkStart w:id="59" w:name="_Toc15645"/>
      <w:bookmarkStart w:id="60" w:name="_Toc17944"/>
      <w:bookmarkStart w:id="61" w:name="_Toc7204"/>
      <w:r>
        <w:rPr>
          <w:rFonts w:ascii="Times New Roman" w:hAnsi="Times New Roman" w:eastAsia="黑体" w:cs="Times New Roman"/>
          <w:color w:val="auto"/>
          <w:sz w:val="32"/>
          <w:szCs w:val="32"/>
        </w:rPr>
        <w:t>四、</w:t>
      </w:r>
      <w:bookmarkEnd w:id="49"/>
      <w:bookmarkEnd w:id="50"/>
      <w:bookmarkEnd w:id="51"/>
      <w:bookmarkEnd w:id="52"/>
      <w:bookmarkEnd w:id="53"/>
      <w:bookmarkEnd w:id="54"/>
      <w:r>
        <w:rPr>
          <w:rFonts w:hint="eastAsia" w:ascii="Times New Roman" w:hAnsi="Times New Roman" w:eastAsia="黑体" w:cs="Times New Roman"/>
          <w:color w:val="auto"/>
          <w:sz w:val="32"/>
          <w:szCs w:val="32"/>
          <w:lang w:val="en-US" w:eastAsia="zh-CN"/>
        </w:rPr>
        <w:t>保障油品安全稳定供应</w:t>
      </w:r>
      <w:bookmarkEnd w:id="55"/>
      <w:bookmarkEnd w:id="56"/>
      <w:bookmarkEnd w:id="57"/>
      <w:bookmarkEnd w:id="58"/>
      <w:bookmarkEnd w:id="59"/>
      <w:bookmarkEnd w:id="60"/>
      <w:bookmarkEnd w:id="61"/>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适应重点区域开发和市场需求，优化调整油品设施布局，保障成品油安全稳定可靠供应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全面实施“京6B”车用燃油标准。加强油品质量监管，开展成品油零售市场转型整治，严厉打击违法销售、以次充好等违法行为，推进成品油市场规范、健康发展。</w:t>
      </w:r>
    </w:p>
    <w:p>
      <w:pPr>
        <w:ind w:firstLine="640" w:firstLineChars="200"/>
        <w:rPr>
          <w:rFonts w:ascii="Times New Roman" w:hAnsi="Times New Roman" w:eastAsia="仿宋" w:cs="Times New Roman"/>
          <w:color w:val="auto"/>
          <w:sz w:val="32"/>
          <w:szCs w:val="32"/>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789174-0238-4655-A8AC-2C8EA8C71E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C02F1A-1652-4673-9C9C-76CC5BAD1962}"/>
  </w:font>
  <w:font w:name="仿宋_GB2312">
    <w:altName w:val="仿宋"/>
    <w:panose1 w:val="02010609030101010101"/>
    <w:charset w:val="86"/>
    <w:family w:val="auto"/>
    <w:pitch w:val="default"/>
    <w:sig w:usb0="00000000" w:usb1="00000000" w:usb2="00000000" w:usb3="00000000" w:csb0="00040000" w:csb1="00000000"/>
    <w:embedRegular r:id="rId3" w:fontKey="{342E2305-D8C2-4C20-BAC0-125F89ED73DE}"/>
  </w:font>
  <w:font w:name="方正小标宋简体">
    <w:panose1 w:val="02000000000000000000"/>
    <w:charset w:val="86"/>
    <w:family w:val="auto"/>
    <w:pitch w:val="default"/>
    <w:sig w:usb0="00000001" w:usb1="08000000" w:usb2="00000000" w:usb3="00000000" w:csb0="00040000" w:csb1="00000000"/>
    <w:embedRegular r:id="rId4" w:fontKey="{2EC6556D-8E07-4FA3-9EE6-A38B9D245808}"/>
  </w:font>
  <w:font w:name="仿宋">
    <w:panose1 w:val="02010609060101010101"/>
    <w:charset w:val="86"/>
    <w:family w:val="auto"/>
    <w:pitch w:val="default"/>
    <w:sig w:usb0="800002BF" w:usb1="38CF7CFA" w:usb2="00000016" w:usb3="00000000" w:csb0="00040001" w:csb1="00000000"/>
    <w:embedRegular r:id="rId5" w:fontKey="{59D3E36A-5AD2-4C19-A490-EACA6B53EDB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47690188"/>
    <w:rsid w:val="4769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2022-12-06T09:20:00Z</dcterms:created>
  <dc:creator>米露露</dc:creator>
  <cp:lastModifiedBy>米露露</cp:lastModifiedBy>
  <dcterms:modified xsi:type="dcterms:W3CDTF">2022-12-06T09:21:00Z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FA7DAA4CF66B4734BDBBEF204CD285A7</vt:lpwstr>
  </property>
</Properties>
</file>