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880" w:hanging="880" w:hangingChars="200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Toc26038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北臧村镇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镇级决算情况、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上半年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预算执行情况</w:t>
      </w:r>
      <w:bookmarkEnd w:id="0"/>
      <w:bookmarkStart w:id="1" w:name="_Toc467766179"/>
      <w:bookmarkStart w:id="2" w:name="_Toc12061"/>
      <w:bookmarkStart w:id="3" w:name="_Toc467766084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和20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年预算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调整情况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的报告</w:t>
      </w:r>
      <w:bookmarkEnd w:id="1"/>
      <w:bookmarkEnd w:id="2"/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——大兴区北臧村镇第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届人民代表大会第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六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次会议上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eastAsia="zh-CN"/>
        </w:rPr>
        <w:t>产业发展服务中心主任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eastAsia="zh-CN"/>
        </w:rPr>
        <w:t>巴明光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（20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24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left"/>
        <w:rPr>
          <w:rFonts w:hint="eastAsia" w:ascii="楷体_GB2312" w:hAnsi="楷体_GB2312" w:eastAsia="仿宋_GB2312" w:cs="楷体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各位代表</w:t>
      </w:r>
      <w:r>
        <w:rPr>
          <w:rFonts w:hint="eastAsia" w:eastAsia="仿宋_GB2312"/>
          <w:sz w:val="32"/>
          <w:szCs w:val="32"/>
          <w:lang w:eastAsia="zh-CN"/>
        </w:rPr>
        <w:t>：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</w:rPr>
        <w:t>受北臧村镇人民政府委托，向大会提交北臧村镇2023年镇级决算情况、2024年上半年预算执行情况和2024年预算调整情况的报告，请予审议。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outlineLvl w:val="0"/>
        <w:rPr>
          <w:rFonts w:eastAsia="黑体"/>
          <w:sz w:val="32"/>
          <w:szCs w:val="32"/>
        </w:rPr>
      </w:pPr>
      <w:bookmarkStart w:id="4" w:name="_Toc1406"/>
      <w:r>
        <w:rPr>
          <w:rFonts w:eastAsia="黑体"/>
          <w:sz w:val="32"/>
          <w:szCs w:val="32"/>
        </w:rPr>
        <w:t>一、20</w:t>
      </w:r>
      <w:r>
        <w:rPr>
          <w:rFonts w:hint="eastAsia" w:eastAsia="黑体"/>
          <w:sz w:val="32"/>
          <w:szCs w:val="32"/>
          <w:lang w:val="en-US" w:eastAsia="zh-CN"/>
        </w:rPr>
        <w:t>23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  <w:lang w:eastAsia="zh-CN"/>
        </w:rPr>
        <w:t>镇级决算</w:t>
      </w:r>
      <w:r>
        <w:rPr>
          <w:rFonts w:eastAsia="黑体"/>
          <w:sz w:val="32"/>
          <w:szCs w:val="32"/>
        </w:rPr>
        <w:t>情况</w:t>
      </w:r>
      <w:bookmarkEnd w:id="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t>202</w:t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t>年，</w:t>
      </w:r>
      <w:r>
        <w:rPr>
          <w:rFonts w:eastAsia="仿宋_GB2312"/>
          <w:sz w:val="32"/>
          <w:szCs w:val="32"/>
        </w:rPr>
        <w:t>北臧村镇</w:t>
      </w:r>
      <w:r>
        <w:rPr>
          <w:rFonts w:hint="eastAsia" w:eastAsia="仿宋_GB2312"/>
          <w:sz w:val="32"/>
          <w:szCs w:val="32"/>
          <w:lang w:eastAsia="zh-CN"/>
        </w:rPr>
        <w:t>产业发展服务中心</w:t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t>在镇党委、政府正确领导下，在镇人大的依法监督指导下，紧紧围绕镇党委、政府中心工作，充分发挥财政职能作用，</w:t>
      </w:r>
      <w:r>
        <w:rPr>
          <w:rFonts w:hint="eastAsia" w:ascii="仿宋_GB2312" w:hAnsi="仿宋" w:eastAsia="仿宋_GB2312" w:cs="仿宋_GB2312"/>
          <w:spacing w:val="-10"/>
          <w:kern w:val="0"/>
          <w:sz w:val="32"/>
          <w:szCs w:val="32"/>
        </w:rPr>
        <w:t>以“稳增长、调结构、促改革、惠民生”为目标，创优营商环境，</w:t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t>提升聚财理财能力，</w:t>
      </w:r>
      <w:r>
        <w:rPr>
          <w:rFonts w:hint="eastAsia" w:ascii="仿宋_GB2312" w:hAnsi="仿宋" w:eastAsia="仿宋_GB2312" w:cs="仿宋_GB2312"/>
          <w:spacing w:val="-10"/>
          <w:kern w:val="0"/>
          <w:sz w:val="32"/>
          <w:szCs w:val="32"/>
        </w:rPr>
        <w:t>不断完善财政体系建设，加强财政科学管理</w:t>
      </w:r>
      <w:r>
        <w:rPr>
          <w:rStyle w:val="8"/>
          <w:rFonts w:hint="eastAsia" w:ascii="仿宋_GB2312" w:hAnsi="仿宋" w:eastAsia="仿宋_GB2312"/>
          <w:sz w:val="32"/>
          <w:szCs w:val="32"/>
        </w:rPr>
        <w:t>，</w:t>
      </w:r>
      <w:r>
        <w:rPr>
          <w:rStyle w:val="8"/>
          <w:rFonts w:hint="eastAsia" w:ascii="仿宋_GB2312" w:hAnsi="仿宋" w:eastAsia="仿宋_GB2312"/>
          <w:sz w:val="32"/>
          <w:szCs w:val="32"/>
          <w:lang w:eastAsia="zh-CN"/>
        </w:rPr>
        <w:t>积极推动经济运行整体向好，</w:t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t>为镇域经济和社会各项事业平稳快速发展提供财力保障。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eastAsia="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（一）收入</w:t>
      </w:r>
      <w:r>
        <w:rPr>
          <w:rFonts w:hint="eastAsia" w:ascii="方正楷体_GB2312" w:hAnsi="方正楷体_GB2312" w:eastAsia="方正楷体_GB2312" w:cs="方正楷体_GB2312"/>
          <w:b/>
          <w:sz w:val="32"/>
          <w:szCs w:val="32"/>
          <w:lang w:eastAsia="zh-CN"/>
        </w:rPr>
        <w:t>决算</w:t>
      </w: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政收入完成情况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实现财政收入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3628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年初预算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任务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547万元，增长17.75%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总财力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全年一般公共预算收入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32693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其中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财政收入完成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3628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体制补助收入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5583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万元，固定补助收入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4497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转移支付收入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6222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万元，上级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追加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专项补助收入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12763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政府性基金预算收入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9308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其中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固定补助收入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65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转移支付收入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2123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万元，上级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追加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专项补助收入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7120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上年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结转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结余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664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万元，总财力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42665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</w:rPr>
        <w:t>（二）支出</w:t>
      </w:r>
      <w:r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  <w:lang w:eastAsia="zh-CN"/>
        </w:rPr>
        <w:t>决算</w:t>
      </w:r>
      <w:r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1.一般公共预算支出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29784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万元，其中：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一般公共服务支出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4851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国防支出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公共安全支出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教育支出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文化旅游体育与传媒支出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405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社会保障和就业支出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2954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卫生健康支出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4514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节能环保支出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806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城乡社区支出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3485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农林水支出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12139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自然资源海洋气象等支出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79万元。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灾害防治及应急管理支出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上年结转结余资金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664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万元主要用于乡村振兴、人居环境等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农林水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方面支出，本级预备费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839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万元全部调整用于支出疫情防控、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汛期防控、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创城创卫及应急管理等方面支出。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2.基金预算支出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u w:val="none"/>
          <w:lang w:val="en-US" w:eastAsia="zh-CN"/>
        </w:rPr>
        <w:t>9249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万元，其中：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城乡社区支出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9249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上解支出共计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  <w:t>1459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万元，其中：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民政统发资金上解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855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垃圾处理费上解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义务兵优待金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上解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公益性岗位补贴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上解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医疗补助上解24万元。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产业政策兑现资金上解5万元。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全年一般公共预算财力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33357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29784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万元，上解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1459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万元，滚存结余为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2114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万元；全年基金预算财力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9308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9249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万元，滚存结余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59万元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为保障年度内各项工作顺利开展，2023年度共支出以前年度统筹资金14797万元。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做到了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财政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收支平衡，略有结余，符合区对镇结余资金的要求。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5" w:name="_Toc17036"/>
      <w:r>
        <w:rPr>
          <w:rFonts w:hint="eastAsia" w:ascii="黑体" w:hAnsi="黑体" w:eastAsia="黑体" w:cs="黑体"/>
          <w:sz w:val="32"/>
          <w:szCs w:val="32"/>
        </w:rPr>
        <w:t>二、</w:t>
      </w:r>
      <w:bookmarkEnd w:id="5"/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年上半年预算执行情况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8"/>
          <w:rFonts w:hint="eastAsia" w:ascii="仿宋_GB2312" w:hAnsi="仿宋_GB2312" w:eastAsia="仿宋_GB2312" w:cs="仿宋_GB2312"/>
          <w:bCs/>
          <w:color w:val="0000FF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根据全镇经济和社会发展规划，202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镇财政预算安排和工作的指导思想是：以区委、区政府的中心工作为指导，在镇党委、镇政府的正确领导下，着力支持经济发展，着力改善民生，不断提高财政收入质量，不断优化财政支出结构，加强财政监管，为促进我镇四个北臧村建设提供有力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eastAsia="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（一）收入</w:t>
      </w:r>
      <w:r>
        <w:rPr>
          <w:rFonts w:hint="eastAsia" w:ascii="方正楷体_GB2312" w:hAnsi="方正楷体_GB2312" w:eastAsia="方正楷体_GB2312" w:cs="方正楷体_GB2312"/>
          <w:b/>
          <w:sz w:val="32"/>
          <w:szCs w:val="32"/>
          <w:lang w:eastAsia="zh-CN"/>
        </w:rPr>
        <w:t>完成</w:t>
      </w: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政收入完成情况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按新一轮财政体制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财政收入计划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3081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万元，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与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2023年财政收入计划一致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。1-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月份完成总入库收入6612万元。其中税收入库5221万元，缴纳非税收入（往年利息及资产处置费用上缴）1391万元。完成镇级税收返还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财政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收入1377.6万元，较上年同期1025.3万元增长34.4%，完成全年计划3081万元的44.7%。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总财力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1-6月收到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一般公共预算收入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31711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万元，基金预算收入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4538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万元，总财力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6249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</w:rPr>
        <w:t>（二）支出情况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1.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1-6月</w:t>
      </w:r>
      <w:r>
        <w:rPr>
          <w:rFonts w:hint="eastAsia" w:eastAsia="仿宋_GB2312"/>
          <w:color w:val="auto"/>
          <w:sz w:val="32"/>
          <w:szCs w:val="32"/>
          <w:lang w:eastAsia="zh-CN"/>
        </w:rPr>
        <w:t>一般公共预算支出总</w:t>
      </w:r>
      <w:r>
        <w:rPr>
          <w:rFonts w:eastAsia="仿宋_GB2312"/>
          <w:color w:val="auto"/>
          <w:sz w:val="32"/>
          <w:szCs w:val="32"/>
        </w:rPr>
        <w:t>计</w:t>
      </w:r>
      <w:r>
        <w:rPr>
          <w:rFonts w:hint="eastAsia" w:asci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16560</w:t>
      </w:r>
      <w:r>
        <w:rPr>
          <w:rFonts w:eastAsia="仿宋_GB2312"/>
          <w:color w:val="auto"/>
          <w:sz w:val="32"/>
          <w:szCs w:val="32"/>
        </w:rPr>
        <w:t>万元，其中：一般公共服务支出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3300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，国防支出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22万元，公共安全支出319万元，教育支出140万元，文化旅游体育与传媒支出250万元，</w:t>
      </w:r>
      <w:r>
        <w:rPr>
          <w:rFonts w:eastAsia="仿宋_GB2312"/>
          <w:color w:val="auto"/>
          <w:sz w:val="32"/>
          <w:szCs w:val="32"/>
        </w:rPr>
        <w:t>社会保障和就业支出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1863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卫生健康支出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1796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eastAsia="仿宋_GB2312"/>
          <w:color w:val="auto"/>
          <w:sz w:val="32"/>
          <w:szCs w:val="32"/>
        </w:rPr>
        <w:t>节能环保支出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260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eastAsia="仿宋_GB2312"/>
          <w:color w:val="auto"/>
          <w:sz w:val="32"/>
          <w:szCs w:val="32"/>
        </w:rPr>
        <w:t>城乡社区支出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2608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eastAsia="仿宋_GB2312"/>
          <w:color w:val="auto"/>
          <w:sz w:val="32"/>
          <w:szCs w:val="32"/>
        </w:rPr>
        <w:t>农林水支出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5438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，住房保障支出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564万元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基金预算支出</w:t>
      </w:r>
      <w:r>
        <w:rPr>
          <w:rFonts w:hint="eastAsia" w:asci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3519</w:t>
      </w:r>
      <w:r>
        <w:rPr>
          <w:rFonts w:eastAsia="仿宋_GB2312"/>
          <w:color w:val="auto"/>
          <w:sz w:val="32"/>
          <w:szCs w:val="32"/>
        </w:rPr>
        <w:t>万元，其中：城乡社区支出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3519</w:t>
      </w:r>
      <w:r>
        <w:rPr>
          <w:rFonts w:eastAsia="仿宋_GB2312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hint="default" w:ascii="方正楷体_GB2312" w:hAnsi="方正楷体_GB2312" w:eastAsia="方正楷体_GB2312" w:cs="方正楷体_GB2312"/>
          <w:b/>
          <w:color w:val="auto"/>
          <w:sz w:val="32"/>
          <w:szCs w:val="32"/>
        </w:rPr>
      </w:pPr>
      <w:r>
        <w:rPr>
          <w:rFonts w:hint="default" w:ascii="方正楷体_GB2312" w:hAnsi="方正楷体_GB2312" w:eastAsia="方正楷体_GB2312" w:cs="方正楷体_GB2312"/>
          <w:b/>
          <w:color w:val="auto"/>
          <w:sz w:val="32"/>
          <w:szCs w:val="32"/>
        </w:rPr>
        <w:t>（三）预算执行过程中需要关注的问题及解决措施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财政预算执行情况总体良</w:t>
      </w:r>
      <w:r>
        <w:rPr>
          <w:rFonts w:hint="eastAsia" w:ascii="仿宋_GB2312" w:hAnsi="仿宋_GB2312" w:eastAsia="仿宋_GB2312" w:cs="仿宋_GB2312"/>
          <w:sz w:val="32"/>
          <w:szCs w:val="32"/>
        </w:rPr>
        <w:t>好，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保障了镇级各项重点工作的推进,取得了一定的成效。但当前财政运行和改革工作依然面临一些困难和问题: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财源建设仍需巩固提升，“稳存量、扩增量”工作仍有较大压力,</w:t>
      </w:r>
      <w:r>
        <w:rPr>
          <w:rFonts w:hint="eastAsia" w:ascii="仿宋_GB2312" w:hAnsi="仿宋_GB2312" w:eastAsia="仿宋_GB2312" w:cs="仿宋_GB2312"/>
          <w:sz w:val="32"/>
          <w:szCs w:val="32"/>
        </w:rPr>
        <w:t>新注册企业所形成的财政收入贡献仍较小，尚未成为新的财政增收动力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二是收支平衡面临较大压力。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部分预算单位尚未意识到“过紧日子”的必要性和紧迫性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在财政收支紧平衡的背景下，财政支出需求依旧旺盛。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三是财政资金使用效益还有提升空间。虽然本镇绩效管理工作不断深化,但是在预算执行中,通过审计、财政监督检查等方式,也反映出部门成本控制理念还需加强，资金使用效益还需进一步提升。</w:t>
      </w:r>
    </w:p>
    <w:p>
      <w:pPr>
        <w:pStyle w:val="9"/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对于这些问题和不足，我们高度重视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，我们将坚持以问题为导向，牢固树立“过紧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日子”思想，加力提效实施好财政政策，在保持收入增长、培育重点产业、优化支出结构等方面持续发力，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充分发挥财政资金对我镇各项重点工作的保障作用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助推镇域经济高质量发展。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三、202</w:t>
      </w:r>
      <w:r>
        <w:rPr>
          <w:rFonts w:hint="eastAsia" w:eastAsia="黑体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sz w:val="32"/>
          <w:szCs w:val="32"/>
        </w:rPr>
        <w:t>年预算调整情况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>（一）一般公共预算调整情况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1．一般公共预算收入调整情况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镇级一般公共预算总收入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由年初预算的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31682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33141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%。主要为新增住房补贴第三批补发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564万元及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2．一般公共预算支出调整情况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一般公共预算支出预算安排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31682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33141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万元，主要支出功能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科目调整如下：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一般公共服务支出预算安排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6474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5908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566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压减了一般行政管理事务支出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公共安全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调整了消防安全工作应急经费支出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2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调整了文化宣传经费支出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社会保障和就业支出预算安排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2976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3741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765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调整了社会保障缴费功能分类科目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580万元及养老服务等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社会保障支出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卫生健康支出预算安排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3542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上级追加基本公共卫生、计划生育补助及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疫情防控工作相关资金支出。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节能环保支出预算安排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此项资金无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万元，主要是新增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上级追加垃圾分类及镇域规划转移支付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资金。</w:t>
      </w:r>
    </w:p>
    <w:p>
      <w:pPr>
        <w:pStyle w:val="2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农林水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13065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13507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442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万元，主要是新增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上级追加大兴区平原生态林养护及土地流转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资金。</w:t>
      </w:r>
    </w:p>
    <w:p>
      <w:pPr>
        <w:pStyle w:val="2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住房保障支出调整增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加564万元，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主要为新增住房补贴第三批补发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本级预备费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839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799万元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已调整用于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消防应急公共安全及文化宣传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等相关支出。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方正楷体_GB2312" w:hAnsi="方正楷体_GB2312" w:eastAsia="方正楷体_GB2312" w:cs="方正楷体_GB2312"/>
          <w:b/>
          <w:bCs/>
          <w:color w:val="auto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auto"/>
          <w:sz w:val="32"/>
          <w:szCs w:val="32"/>
        </w:rPr>
        <w:t>（二）政府性基金预算调整情况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镇级政府性基金预算支出由年初预算的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4538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万元，主要支出功能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科目调整如下：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4538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上级追加路灯照明、积水点治理等政府投资工程及耕地保护补偿方面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CN"/>
        </w:rPr>
        <w:t>四、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202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年下半年重点工作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Times New Roman"/>
          <w:color w:val="auto"/>
          <w:sz w:val="32"/>
          <w:szCs w:val="32"/>
        </w:rPr>
        <w:t>一</w:t>
      </w:r>
      <w:r>
        <w:rPr>
          <w:rFonts w:hint="eastAsia" w:ascii="黑体" w:hAnsi="黑体" w:eastAsia="黑体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Times New Roman"/>
          <w:color w:val="auto"/>
          <w:sz w:val="32"/>
          <w:szCs w:val="32"/>
        </w:rPr>
        <w:t>继续</w:t>
      </w:r>
      <w:r>
        <w:rPr>
          <w:rFonts w:ascii="黑体" w:hAnsi="黑体" w:eastAsia="黑体" w:cs="Times New Roman"/>
          <w:color w:val="auto"/>
          <w:sz w:val="32"/>
          <w:szCs w:val="32"/>
        </w:rPr>
        <w:t>狠抓财源建设，</w:t>
      </w:r>
      <w:r>
        <w:rPr>
          <w:rFonts w:hint="eastAsia" w:ascii="黑体" w:hAnsi="黑体" w:eastAsia="黑体" w:cs="Times New Roman"/>
          <w:color w:val="auto"/>
          <w:sz w:val="32"/>
          <w:szCs w:val="32"/>
        </w:rPr>
        <w:t>力保完成全年任务。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继续全面落实好减税降费政策，协调配合税务部门强化征管工作，最大限度保证税源稳定，加大对“服务包”企业、重点税源企业进行走访，了解企业生产经营及纳税情况，为企业排忧解难，进一步加大招商力度，引进优质税源，寻找新的税收增长点。加强对重点企业开展走访和“送服务”力度，加大奖励政策支持力度。完善重点企业班子成员走访制，及时了解企业生产生活中遇到的实际困难，收集企业需求，形成长效服务互动机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Times New Roman"/>
          <w:sz w:val="32"/>
          <w:szCs w:val="32"/>
        </w:rPr>
        <w:t>二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Times New Roman"/>
          <w:sz w:val="32"/>
          <w:szCs w:val="32"/>
        </w:rPr>
        <w:t>合理安排202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Times New Roman"/>
          <w:sz w:val="32"/>
          <w:szCs w:val="32"/>
        </w:rPr>
        <w:t>年</w:t>
      </w:r>
      <w:r>
        <w:rPr>
          <w:rFonts w:ascii="黑体" w:hAnsi="黑体" w:eastAsia="黑体" w:cs="Times New Roman"/>
          <w:sz w:val="32"/>
          <w:szCs w:val="32"/>
        </w:rPr>
        <w:t>预算，优化支出结构保重点。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落实政府带头过紧日子要求，推动建立能增能减、有保有压、能上能下的预算安排机制。坚持“三保”优先，明确财力保障重点。坚决兜牢“三保”底线，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完善预算绩效制度体系，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强化成本管控，推进财政支出标准化，严把支出预算关口，提高财政资金的运行效率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Times New Roman"/>
          <w:sz w:val="32"/>
          <w:szCs w:val="32"/>
        </w:rPr>
        <w:t>三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）</w:t>
      </w:r>
      <w:r>
        <w:rPr>
          <w:rFonts w:ascii="黑体" w:hAnsi="黑体" w:eastAsia="黑体" w:cs="Times New Roman"/>
          <w:sz w:val="32"/>
          <w:szCs w:val="32"/>
        </w:rPr>
        <w:t>深化财政改革，提升管理水平开新局。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全镇财力纳入一体化实行国库集中支付管理，</w:t>
      </w:r>
      <w:r>
        <w:rPr>
          <w:rFonts w:ascii="仿宋" w:hAnsi="仿宋" w:eastAsia="仿宋" w:cs="Times New Roman"/>
          <w:sz w:val="32"/>
          <w:szCs w:val="32"/>
        </w:rPr>
        <w:t>实时记录和动态反映资金分配、拨付、使用情况，筑牢资金安全屏障。加强专项资金拨付和支出规范管理，优化资金使用流程，支持重点项目和重大民生工程建设。扎实抓好</w:t>
      </w:r>
      <w:r>
        <w:rPr>
          <w:rFonts w:hint="eastAsia" w:ascii="仿宋" w:hAnsi="仿宋" w:eastAsia="仿宋" w:cs="Times New Roman"/>
          <w:sz w:val="32"/>
          <w:szCs w:val="32"/>
        </w:rPr>
        <w:t>市、区经责审计</w:t>
      </w:r>
      <w:r>
        <w:rPr>
          <w:rFonts w:ascii="仿宋" w:hAnsi="仿宋" w:eastAsia="仿宋" w:cs="Times New Roman"/>
          <w:sz w:val="32"/>
          <w:szCs w:val="32"/>
        </w:rPr>
        <w:t xml:space="preserve">等反馈问题整改，推动依法行政、依法理财。 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4874CB" w:themeColor="accent1"/>
          <w:sz w:val="32"/>
          <w:szCs w:val="32"/>
          <w14:textFill>
            <w14:solidFill>
              <w14:schemeClr w14:val="accent1"/>
            </w14:solidFill>
          </w14:textFill>
        </w:rPr>
      </w:pPr>
      <w:r>
        <w:rPr>
          <w:rFonts w:ascii="仿宋" w:hAnsi="仿宋" w:eastAsia="仿宋" w:cs="Times New Roman"/>
          <w:sz w:val="32"/>
          <w:szCs w:val="32"/>
        </w:rPr>
        <w:t>各位代表！</w:t>
      </w: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年下半年，</w:t>
      </w:r>
      <w:r>
        <w:rPr>
          <w:rFonts w:ascii="仿宋" w:hAnsi="仿宋" w:eastAsia="仿宋" w:cs="Times New Roman"/>
          <w:sz w:val="32"/>
          <w:szCs w:val="32"/>
        </w:rPr>
        <w:t>我们将</w:t>
      </w:r>
      <w:r>
        <w:rPr>
          <w:rFonts w:hint="eastAsia" w:ascii="仿宋" w:hAnsi="仿宋" w:eastAsia="仿宋" w:cs="Times New Roman"/>
          <w:sz w:val="32"/>
          <w:szCs w:val="32"/>
        </w:rPr>
        <w:t>继续</w:t>
      </w:r>
      <w:r>
        <w:rPr>
          <w:rFonts w:ascii="仿宋" w:hAnsi="仿宋" w:eastAsia="仿宋" w:cs="Times New Roman"/>
          <w:sz w:val="32"/>
          <w:szCs w:val="32"/>
        </w:rPr>
        <w:t>以饱满的热情，坚定信心，迎难而上，全力闯新路、开新局、抢新机、出新绩，奋力完成全年</w:t>
      </w:r>
      <w:r>
        <w:rPr>
          <w:rFonts w:hint="eastAsia" w:ascii="仿宋" w:hAnsi="仿宋" w:eastAsia="仿宋" w:cs="Times New Roman"/>
          <w:sz w:val="32"/>
          <w:szCs w:val="32"/>
        </w:rPr>
        <w:t>财政</w:t>
      </w:r>
      <w:r>
        <w:rPr>
          <w:rFonts w:ascii="仿宋" w:hAnsi="仿宋" w:eastAsia="仿宋" w:cs="Times New Roman"/>
          <w:sz w:val="32"/>
          <w:szCs w:val="32"/>
        </w:rPr>
        <w:t>目标任务，奋力谱写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四个北臧村。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B66D2"/>
    <w:multiLevelType w:val="singleLevel"/>
    <w:tmpl w:val="63BB66D2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NjhmNTk4NjUxMWI5ZTNjY2JmNGM0ZDM2YjhlNWIifQ=="/>
  </w:docVars>
  <w:rsids>
    <w:rsidRoot w:val="2EDE7780"/>
    <w:rsid w:val="06033C57"/>
    <w:rsid w:val="09A17C56"/>
    <w:rsid w:val="189A6A24"/>
    <w:rsid w:val="22816F3A"/>
    <w:rsid w:val="23AD3B6A"/>
    <w:rsid w:val="253F55D6"/>
    <w:rsid w:val="27EE00B2"/>
    <w:rsid w:val="27FC457D"/>
    <w:rsid w:val="2C6721E1"/>
    <w:rsid w:val="2EDE7780"/>
    <w:rsid w:val="2EEF1683"/>
    <w:rsid w:val="30963095"/>
    <w:rsid w:val="32143023"/>
    <w:rsid w:val="3C121FD2"/>
    <w:rsid w:val="3C2E484B"/>
    <w:rsid w:val="3E6E73FF"/>
    <w:rsid w:val="3ED9753F"/>
    <w:rsid w:val="44E41560"/>
    <w:rsid w:val="46071C49"/>
    <w:rsid w:val="47906B76"/>
    <w:rsid w:val="4E9E6A5C"/>
    <w:rsid w:val="50575F45"/>
    <w:rsid w:val="51A60F32"/>
    <w:rsid w:val="562634CB"/>
    <w:rsid w:val="57133927"/>
    <w:rsid w:val="5A795011"/>
    <w:rsid w:val="5D9A2155"/>
    <w:rsid w:val="72BA3946"/>
    <w:rsid w:val="77A00FD8"/>
    <w:rsid w:val="7BB02BA3"/>
    <w:rsid w:val="7EE6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400" w:lineRule="atLeast"/>
      <w:ind w:left="-76" w:right="-69" w:rightChars="-33" w:firstLine="200" w:firstLineChars="200"/>
      <w:jc w:val="left"/>
    </w:pPr>
    <w:rPr>
      <w:rFonts w:ascii="宋体" w:hAnsi="宋体"/>
      <w:color w:val="FF0000"/>
      <w:sz w:val="24"/>
      <w:szCs w:val="20"/>
    </w:rPr>
  </w:style>
  <w:style w:type="paragraph" w:styleId="3">
    <w:name w:val="Body Text"/>
    <w:basedOn w:val="1"/>
    <w:next w:val="1"/>
    <w:qFormat/>
    <w:uiPriority w:val="0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8">
    <w:name w:val=" Char Char Char Char Char Char Char Char Char Char Char Char Char Char Char Char"/>
    <w:basedOn w:val="5"/>
    <w:link w:val="9"/>
    <w:qFormat/>
    <w:uiPriority w:val="0"/>
  </w:style>
  <w:style w:type="paragraph" w:customStyle="1" w:styleId="9">
    <w:name w:val=" Char Char Char Char Char Char Char Char Char Char Char Char Char Char Char"/>
    <w:basedOn w:val="1"/>
    <w:link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2023-08-28T02:00:00Z</dcterms:created>
  <dc:creator>czs</dc:creator>
  <cp:lastModifiedBy>Administrator</cp:lastModifiedBy>
  <cp:lastPrinted>2024-08-20T02:34:00Z</cp:lastPrinted>
  <dcterms:modified xsi:type="dcterms:W3CDTF">2024-09-14T04:02:20Z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28907CE4F226414698B4183561F70C74_11</vt:lpwstr>
  </property>
</Properties>
</file>