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2023年农业经营主体能力提升资金-新型农业经营主体生产设施条件改善项目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《北京市老旧设施改造指导意见》及《北京市设施建设成本指导标准（2023年度）》的要求，分别对园区内，36000平方米钢架大棚增设降温系统-高压喷雾系统，并对园区内125套外保温卷被系统进行更新改造和砖混日光温室被共56700平方米高效保温被进行改造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《北京市老旧设施改造指导意见》及《北京市设施建设成本指导标准（2023年度）》的要求，分别对园区内，36000平方米钢架大棚增设降温系统-高压喷雾系统，并对园区内125套外保温卷被系统进行更新改造和砖混日光温室被共56700平方米高效保温被进行改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指标1：钢架大棚增设降温系统-高压喷雾系统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指标2：外保温卷更新改造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指标1：完工时间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指标1：农民收入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34672A83"/>
    <w:rsid w:val="3BE876C8"/>
    <w:rsid w:val="60DE2813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9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2024-03-04T03:13:21Z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E932EB4F7BC14961926BF9F13FA5C4AE_13</vt:lpwstr>
  </property>
</Properties>
</file>