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法律服务费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司法所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北京圆融律师事务所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毕子旭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80265382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 w:colFirst="7" w:colLast="7"/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eastAsia="zh-CN"/>
              </w:rPr>
              <w:t>提供法律服务次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Arial" w:hAnsi="Arial" w:cs="Arial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48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服务单位数量</w:t>
            </w: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全年代理次数</w:t>
            </w: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Arial" w:hAnsi="Arial" w:cs="Arial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工作达标率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工作质量达标率</w:t>
            </w: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提供服务及时率</w:t>
            </w: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诉讼代理及时率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顾问费成本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Arial" w:hAnsi="Arial" w:cs="Arial"/>
                <w:kern w:val="0"/>
                <w:sz w:val="20"/>
                <w:szCs w:val="20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诉讼代理总成本</w:t>
            </w: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Arial" w:hAnsi="Arial" w:cs="Arial"/>
                <w:kern w:val="0"/>
                <w:sz w:val="20"/>
                <w:szCs w:val="20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30万元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法律问题解决率</w:t>
            </w: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eastAsia="zh-CN"/>
              </w:rPr>
              <w:t>全年解决问题次数</w:t>
            </w:r>
            <w:r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Arial" w:hAnsi="Arial" w:cs="Arial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代理完成率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镇政府满意率</w:t>
            </w: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：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镇政府满意率</w:t>
            </w: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lNzQyNjFlMDFmNzQwNTM4ZmE5NWY2MWIyOGI5OTU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8B33A64"/>
    <w:rsid w:val="27ED56A9"/>
    <w:rsid w:val="36330857"/>
    <w:rsid w:val="4FBB104B"/>
    <w:rsid w:val="60BC2D9A"/>
    <w:rsid w:val="641825B6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0</TotalTime>
  <ScaleCrop>false</ScaleCrop>
  <LinksUpToDate>false</LinksUpToDate>
  <CharactersWithSpaces>343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文档存本地丢失不负责</cp:lastModifiedBy>
  <dcterms:modified xsi:type="dcterms:W3CDTF">2024-02-21T01:22:25Z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8E16645E09B146A7B69CAB09DBBB23D4</vt:lpwstr>
  </property>
</Properties>
</file>