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大兴区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eastAsia="zh-CN"/>
        </w:rPr>
        <w:t>庞各庄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镇</w:t>
      </w:r>
      <w:r>
        <w:rPr>
          <w:rFonts w:ascii="方正小标宋简体" w:hAnsi="文星标宋" w:eastAsia="方正小标宋简体" w:cs="Tahoma"/>
          <w:color w:val="000000"/>
          <w:sz w:val="44"/>
          <w:szCs w:val="44"/>
        </w:rPr>
        <w:t>20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2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val="en-US" w:eastAsia="zh-CN"/>
        </w:rPr>
        <w:t>3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年政府决算</w:t>
      </w:r>
    </w:p>
    <w:p>
      <w:pPr>
        <w:spacing w:line="620" w:lineRule="exact"/>
        <w:jc w:val="center"/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公开套表说明</w:t>
      </w:r>
    </w:p>
    <w:p>
      <w:pPr>
        <w:spacing w:line="620" w:lineRule="exact"/>
        <w:ind w:firstLine="640" w:firstLineChars="200"/>
        <w:jc w:val="left"/>
        <w:rPr>
          <w:rFonts w:hint="eastAsia" w:ascii="方正小标宋简体" w:hAnsi="文星标宋" w:eastAsia="黑体" w:cs="Tahoma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sz w:val="32"/>
          <w:szCs w:val="32"/>
        </w:rPr>
        <w:t>年一般公共预算收入决算表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庞各庄</w:t>
      </w:r>
      <w:r>
        <w:rPr>
          <w:rFonts w:hint="eastAsia" w:ascii="仿宋_GB2312" w:hAnsi="宋体" w:eastAsia="仿宋_GB2312" w:cs="宋体"/>
          <w:sz w:val="32"/>
          <w:szCs w:val="32"/>
        </w:rPr>
        <w:t>镇202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sz w:val="32"/>
          <w:szCs w:val="32"/>
        </w:rPr>
        <w:t>年一般公共预算收入决算数为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17799</w:t>
      </w:r>
      <w:r>
        <w:rPr>
          <w:rFonts w:hint="eastAsia" w:ascii="仿宋_GB2312" w:hAnsi="宋体" w:eastAsia="仿宋_GB2312" w:cs="宋体"/>
          <w:sz w:val="32"/>
          <w:szCs w:val="32"/>
        </w:rPr>
        <w:t>万元（均为返还性收入），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完成调整预算数的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127%，</w:t>
      </w:r>
      <w:r>
        <w:rPr>
          <w:rFonts w:hint="eastAsia" w:ascii="仿宋_GB2312" w:hAnsi="Times New Roman" w:eastAsia="仿宋_GB2312"/>
          <w:color w:val="auto"/>
          <w:spacing w:val="0"/>
          <w:sz w:val="32"/>
          <w:szCs w:val="32"/>
          <w:lang w:val="en-US" w:eastAsia="zh-CN"/>
        </w:rPr>
        <w:t>主要是税务部门加大清算力度，对我镇北京永同昌房地产开发集团有限公司开展土增税清算工作，纳税款12800万元，形成镇级财政收入3200万元。</w:t>
      </w:r>
      <w:r>
        <w:rPr>
          <w:rFonts w:hint="eastAsia" w:ascii="仿宋_GB2312" w:hAnsi="宋体" w:eastAsia="仿宋_GB2312" w:cs="宋体"/>
          <w:sz w:val="32"/>
          <w:szCs w:val="32"/>
        </w:rPr>
        <w:t>其中：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（一）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年增值税收入决算数为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5171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3200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162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%； 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（二）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年企业所得税收入决算数为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972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1300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75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（三）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年城市维护建设税收入决算数为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1098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1100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（四）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年房产税收入决算数为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4330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3300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131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（五）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年印花税收入决算数为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1116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700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159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（六）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年城镇土地使用税收入决算数为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179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90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 w:cs="宋体"/>
          <w:sz w:val="32"/>
          <w:szCs w:val="32"/>
        </w:rPr>
        <w:t>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土地增值</w:t>
      </w:r>
      <w:r>
        <w:rPr>
          <w:rFonts w:hint="eastAsia" w:ascii="仿宋_GB2312" w:hAnsi="宋体" w:eastAsia="仿宋_GB2312" w:cs="宋体"/>
          <w:sz w:val="32"/>
          <w:szCs w:val="32"/>
        </w:rPr>
        <w:t>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4933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4200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117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2023</w:t>
      </w:r>
      <w:r>
        <w:rPr>
          <w:rFonts w:hint="eastAsia" w:ascii="黑体" w:hAnsi="黑体" w:eastAsia="黑体" w:cs="黑体"/>
          <w:sz w:val="32"/>
          <w:szCs w:val="32"/>
        </w:rPr>
        <w:t>年一般公共预算支出决算表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庞各庄</w:t>
      </w:r>
      <w:r>
        <w:rPr>
          <w:rFonts w:hint="eastAsia" w:ascii="仿宋_GB2312" w:hAnsi="宋体" w:eastAsia="仿宋_GB2312" w:cs="宋体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年一般公共预算支出总计为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63378.86</w:t>
      </w:r>
      <w:r>
        <w:rPr>
          <w:rFonts w:hint="eastAsia" w:ascii="仿宋_GB2312" w:hAnsi="宋体" w:eastAsia="仿宋_GB2312" w:cs="宋体"/>
          <w:sz w:val="32"/>
          <w:szCs w:val="32"/>
        </w:rPr>
        <w:t>万元，其中：全镇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年一般公共预算支出决算数为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58280.22</w:t>
      </w:r>
      <w:r>
        <w:rPr>
          <w:rFonts w:hint="eastAsia" w:ascii="仿宋_GB2312" w:hAnsi="宋体" w:eastAsia="仿宋_GB2312" w:cs="宋体"/>
          <w:sz w:val="32"/>
          <w:szCs w:val="32"/>
        </w:rPr>
        <w:t>万元、上解支出决算数为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5098.64</w:t>
      </w:r>
      <w:r>
        <w:rPr>
          <w:rFonts w:hint="eastAsia" w:ascii="仿宋_GB2312" w:hAnsi="宋体" w:eastAsia="仿宋_GB2312" w:cs="宋体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主要增减变化原因有：镇本级一般公共预算支出为调整预算的204%，支出较调整预算有所增加的原因是专项转移支付增加；上解支出为调整预算的178%，主要是按照区财政局测算，上解支出增加。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2023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本级</w:t>
      </w:r>
      <w:r>
        <w:rPr>
          <w:rFonts w:hint="eastAsia" w:ascii="黑体" w:hAnsi="黑体" w:eastAsia="黑体" w:cs="黑体"/>
          <w:sz w:val="32"/>
          <w:szCs w:val="32"/>
        </w:rPr>
        <w:t>一般公共预算支出决算表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before="70" w:line="323" w:lineRule="auto"/>
        <w:ind w:left="25" w:right="13" w:firstLine="654"/>
        <w:jc w:val="both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庞各庄</w:t>
      </w:r>
      <w:r>
        <w:rPr>
          <w:rFonts w:hint="eastAsia" w:ascii="仿宋_GB2312" w:hAnsi="宋体" w:eastAsia="仿宋_GB2312" w:cs="宋体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年一般公共预算支出决算数为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58280.22</w:t>
      </w:r>
      <w:r>
        <w:rPr>
          <w:rFonts w:hint="eastAsia" w:ascii="仿宋_GB2312" w:hAnsi="宋体" w:eastAsia="仿宋_GB2312" w:cs="宋体"/>
          <w:sz w:val="32"/>
          <w:szCs w:val="32"/>
        </w:rPr>
        <w:t>万元，为调整预算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数</w:t>
      </w:r>
      <w:r>
        <w:rPr>
          <w:rFonts w:hint="eastAsia" w:ascii="仿宋_GB2312" w:hAnsi="宋体" w:eastAsia="仿宋_GB2312" w:cs="宋体"/>
          <w:sz w:val="32"/>
          <w:szCs w:val="32"/>
        </w:rPr>
        <w:t>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204.38</w:t>
      </w:r>
      <w:r>
        <w:rPr>
          <w:rFonts w:hint="eastAsia" w:ascii="仿宋_GB2312" w:hAnsi="宋体" w:eastAsia="仿宋_GB2312" w:cs="宋体"/>
          <w:sz w:val="32"/>
          <w:szCs w:val="32"/>
        </w:rPr>
        <w:t>%，支出较调整预算有所增加的原因是在年度预执行过程中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，上级转移支付资金有所增加</w:t>
      </w:r>
      <w:r>
        <w:rPr>
          <w:rFonts w:hint="eastAsia" w:ascii="仿宋_GB2312" w:hAnsi="宋体" w:eastAsia="仿宋_GB2312" w:cs="宋体"/>
          <w:sz w:val="32"/>
          <w:szCs w:val="32"/>
        </w:rPr>
        <w:t>。其中：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0" w:line="324" w:lineRule="auto"/>
        <w:ind w:right="11" w:rightChars="0" w:firstLine="640" w:firstLineChars="200"/>
        <w:jc w:val="both"/>
        <w:textAlignment w:val="auto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（一）一般公共服务支出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10077.72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为调整预算数的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93.43</w:t>
      </w:r>
      <w:r>
        <w:rPr>
          <w:rFonts w:hint="eastAsia" w:ascii="仿宋_GB2312" w:hAnsi="宋体" w:eastAsia="仿宋_GB2312" w:cs="宋体"/>
          <w:sz w:val="32"/>
          <w:szCs w:val="32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，主要是项目支出有所减少。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0" w:line="324" w:lineRule="auto"/>
        <w:ind w:right="11" w:rightChars="0" w:firstLine="640" w:firstLineChars="200"/>
        <w:jc w:val="both"/>
        <w:textAlignment w:val="auto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（二）国防支出2023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29.75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为调整预算数的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59.5</w:t>
      </w:r>
      <w:r>
        <w:rPr>
          <w:rFonts w:hint="eastAsia" w:ascii="仿宋_GB2312" w:hAnsi="宋体" w:eastAsia="仿宋_GB2312" w:cs="宋体"/>
          <w:sz w:val="32"/>
          <w:szCs w:val="32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，主要是项目支出有所减少。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0" w:line="324" w:lineRule="auto"/>
        <w:ind w:right="11" w:rightChars="0" w:firstLine="640" w:firstLineChars="200"/>
        <w:jc w:val="both"/>
        <w:textAlignment w:val="auto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（三）</w:t>
      </w:r>
      <w:r>
        <w:rPr>
          <w:rFonts w:hint="eastAsia" w:ascii="仿宋_GB2312" w:hAnsi="宋体" w:eastAsia="仿宋_GB2312" w:cs="宋体"/>
          <w:sz w:val="32"/>
          <w:szCs w:val="32"/>
        </w:rPr>
        <w:t>公共安全支出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32.63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为调整预算数的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65.25</w:t>
      </w:r>
      <w:r>
        <w:rPr>
          <w:rFonts w:hint="eastAsia" w:ascii="仿宋_GB2312" w:hAnsi="宋体" w:eastAsia="仿宋_GB2312" w:cs="宋体"/>
          <w:sz w:val="32"/>
          <w:szCs w:val="32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，主要是项目支出有所减少。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0" w:line="324" w:lineRule="auto"/>
        <w:ind w:right="11" w:rightChars="0" w:firstLine="640" w:firstLineChars="200"/>
        <w:jc w:val="both"/>
        <w:textAlignment w:val="auto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（四）</w:t>
      </w:r>
      <w:r>
        <w:rPr>
          <w:rFonts w:hint="eastAsia" w:ascii="仿宋_GB2312" w:hAnsi="宋体" w:eastAsia="仿宋_GB2312" w:cs="宋体"/>
          <w:sz w:val="32"/>
          <w:szCs w:val="32"/>
        </w:rPr>
        <w:t>教育支出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511.99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为调整预算数的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341.33</w:t>
      </w:r>
      <w:r>
        <w:rPr>
          <w:rFonts w:hint="eastAsia" w:ascii="仿宋_GB2312" w:hAnsi="宋体" w:eastAsia="仿宋_GB2312" w:cs="宋体"/>
          <w:sz w:val="32"/>
          <w:szCs w:val="32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sz w:val="32"/>
          <w:szCs w:val="32"/>
        </w:rPr>
        <w:t>主要为专项转移支付资金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增加。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0" w:line="324" w:lineRule="auto"/>
        <w:ind w:right="11" w:rightChars="0" w:firstLine="640" w:firstLineChars="200"/>
        <w:jc w:val="both"/>
        <w:textAlignment w:val="auto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（五）</w:t>
      </w:r>
      <w:r>
        <w:rPr>
          <w:rFonts w:hint="eastAsia" w:ascii="仿宋_GB2312" w:hAnsi="宋体" w:eastAsia="仿宋_GB2312" w:cs="宋体"/>
          <w:sz w:val="32"/>
          <w:szCs w:val="32"/>
        </w:rPr>
        <w:t>文化旅游体育与传媒支出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624.62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为调整预算数的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94.35</w:t>
      </w:r>
      <w:r>
        <w:rPr>
          <w:rFonts w:hint="eastAsia" w:ascii="仿宋_GB2312" w:hAnsi="宋体" w:eastAsia="仿宋_GB2312" w:cs="宋体"/>
          <w:sz w:val="32"/>
          <w:szCs w:val="32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，主要是项目支出有所减少</w:t>
      </w:r>
      <w:r>
        <w:rPr>
          <w:rFonts w:hint="eastAsia" w:ascii="仿宋" w:hAnsi="仿宋" w:eastAsia="仿宋" w:cs="仿宋"/>
          <w:spacing w:val="1"/>
          <w:sz w:val="31"/>
          <w:szCs w:val="31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0" w:line="324" w:lineRule="auto"/>
        <w:ind w:right="11" w:rightChars="0" w:firstLine="640" w:firstLineChars="200"/>
        <w:jc w:val="both"/>
        <w:textAlignment w:val="auto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（六）</w:t>
      </w:r>
      <w:r>
        <w:rPr>
          <w:rFonts w:hint="eastAsia" w:ascii="仿宋_GB2312" w:hAnsi="宋体" w:eastAsia="仿宋_GB2312" w:cs="宋体"/>
          <w:sz w:val="32"/>
          <w:szCs w:val="32"/>
        </w:rPr>
        <w:t>社会保障和就业支出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4895.54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为调整预算数的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227.49</w:t>
      </w:r>
      <w:r>
        <w:rPr>
          <w:rFonts w:hint="eastAsia" w:ascii="仿宋_GB2312" w:hAnsi="宋体" w:eastAsia="仿宋_GB2312" w:cs="宋体"/>
          <w:sz w:val="32"/>
          <w:szCs w:val="32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sz w:val="32"/>
          <w:szCs w:val="32"/>
        </w:rPr>
        <w:t>主要为专项转移支付资金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0" w:line="324" w:lineRule="auto"/>
        <w:ind w:right="11" w:rightChars="0" w:firstLine="640" w:firstLineChars="200"/>
        <w:jc w:val="both"/>
        <w:textAlignment w:val="auto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（七）</w:t>
      </w:r>
      <w:r>
        <w:rPr>
          <w:rFonts w:hint="eastAsia" w:ascii="仿宋_GB2312" w:hAnsi="宋体" w:eastAsia="仿宋_GB2312" w:cs="宋体"/>
          <w:sz w:val="32"/>
          <w:szCs w:val="32"/>
        </w:rPr>
        <w:t>卫生健康支出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6815.19</w:t>
      </w:r>
      <w:r>
        <w:rPr>
          <w:rFonts w:hint="eastAsia" w:ascii="仿宋_GB2312" w:hAnsi="宋体" w:eastAsia="仿宋_GB2312" w:cs="宋体"/>
          <w:sz w:val="32"/>
          <w:szCs w:val="32"/>
        </w:rPr>
        <w:t>万元,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为调整预算数的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153.36</w:t>
      </w:r>
      <w:r>
        <w:rPr>
          <w:rFonts w:hint="eastAsia" w:ascii="仿宋_GB2312" w:hAnsi="宋体" w:eastAsia="仿宋_GB2312" w:cs="宋体"/>
          <w:sz w:val="32"/>
          <w:szCs w:val="32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sz w:val="32"/>
          <w:szCs w:val="32"/>
        </w:rPr>
        <w:t>主要为专项转移支付资金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324" w:lineRule="auto"/>
        <w:ind w:right="11" w:firstLine="640" w:firstLineChars="200"/>
        <w:jc w:val="both"/>
        <w:textAlignment w:val="auto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（八）</w:t>
      </w:r>
      <w:r>
        <w:rPr>
          <w:rFonts w:hint="eastAsia" w:ascii="仿宋_GB2312" w:hAnsi="宋体" w:eastAsia="仿宋_GB2312" w:cs="宋体"/>
          <w:sz w:val="32"/>
          <w:szCs w:val="32"/>
        </w:rPr>
        <w:t>节能环保支出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844.24</w:t>
      </w:r>
      <w:r>
        <w:rPr>
          <w:rFonts w:hint="eastAsia" w:ascii="仿宋_GB2312" w:hAnsi="宋体" w:eastAsia="仿宋_GB2312" w:cs="宋体"/>
          <w:sz w:val="32"/>
          <w:szCs w:val="32"/>
        </w:rPr>
        <w:t>万元,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为调整预算数的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264.65</w:t>
      </w:r>
      <w:r>
        <w:rPr>
          <w:rFonts w:hint="eastAsia" w:ascii="仿宋_GB2312" w:hAnsi="宋体" w:eastAsia="仿宋_GB2312" w:cs="宋体"/>
          <w:sz w:val="32"/>
          <w:szCs w:val="32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sz w:val="32"/>
          <w:szCs w:val="32"/>
        </w:rPr>
        <w:t>主要为专项转移支付资金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324" w:lineRule="auto"/>
        <w:ind w:right="11" w:firstLine="640" w:firstLineChars="200"/>
        <w:jc w:val="both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（九）</w:t>
      </w:r>
      <w:r>
        <w:rPr>
          <w:rFonts w:hint="eastAsia" w:ascii="仿宋_GB2312" w:hAnsi="宋体" w:eastAsia="仿宋_GB2312" w:cs="宋体"/>
          <w:sz w:val="32"/>
          <w:szCs w:val="32"/>
        </w:rPr>
        <w:t>城乡社区支出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7868.9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万元, 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为调整预算数的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149.74</w:t>
      </w:r>
      <w:r>
        <w:rPr>
          <w:rFonts w:hint="eastAsia" w:ascii="仿宋_GB2312" w:hAnsi="宋体" w:eastAsia="仿宋_GB2312" w:cs="宋体"/>
          <w:sz w:val="32"/>
          <w:szCs w:val="32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sz w:val="32"/>
          <w:szCs w:val="32"/>
        </w:rPr>
        <w:t>主要为专项转移支付资金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324" w:lineRule="auto"/>
        <w:ind w:right="11" w:firstLine="640" w:firstLineChars="200"/>
        <w:jc w:val="both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（十）</w:t>
      </w:r>
      <w:r>
        <w:rPr>
          <w:rFonts w:hint="eastAsia" w:ascii="仿宋_GB2312" w:hAnsi="宋体" w:eastAsia="仿宋_GB2312" w:cs="宋体"/>
          <w:sz w:val="32"/>
          <w:szCs w:val="32"/>
        </w:rPr>
        <w:t>农林水支出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24179.93</w:t>
      </w:r>
      <w:r>
        <w:rPr>
          <w:rFonts w:hint="eastAsia" w:ascii="仿宋_GB2312" w:hAnsi="宋体" w:eastAsia="仿宋_GB2312" w:cs="宋体"/>
          <w:sz w:val="32"/>
          <w:szCs w:val="32"/>
        </w:rPr>
        <w:t>万元,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为调整预算数的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612.77</w:t>
      </w:r>
      <w:r>
        <w:rPr>
          <w:rFonts w:hint="eastAsia" w:ascii="仿宋_GB2312" w:hAnsi="宋体" w:eastAsia="仿宋_GB2312" w:cs="宋体"/>
          <w:sz w:val="32"/>
          <w:szCs w:val="32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sz w:val="32"/>
          <w:szCs w:val="32"/>
        </w:rPr>
        <w:t>主要为专项转移支付资金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324" w:lineRule="auto"/>
        <w:ind w:right="11" w:firstLine="640" w:firstLineChars="200"/>
        <w:jc w:val="both"/>
        <w:textAlignment w:val="auto"/>
        <w:rPr>
          <w:rFonts w:hint="eastAsia" w:ascii="仿宋" w:hAnsi="仿宋" w:eastAsia="仿宋" w:cs="仿宋"/>
          <w:spacing w:val="1"/>
          <w:sz w:val="31"/>
          <w:szCs w:val="31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（十一）</w:t>
      </w:r>
      <w:r>
        <w:rPr>
          <w:rFonts w:hint="eastAsia" w:ascii="仿宋_GB2312" w:hAnsi="宋体" w:eastAsia="仿宋_GB2312" w:cs="宋体"/>
          <w:sz w:val="32"/>
          <w:szCs w:val="32"/>
        </w:rPr>
        <w:t>交通运输支出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300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0，</w:t>
      </w:r>
      <w:r>
        <w:rPr>
          <w:rFonts w:hint="eastAsia" w:ascii="仿宋_GB2312" w:hAnsi="宋体" w:eastAsia="仿宋_GB2312" w:cs="宋体"/>
          <w:sz w:val="32"/>
          <w:szCs w:val="32"/>
        </w:rPr>
        <w:t>主要为专项转移支付资金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324" w:lineRule="auto"/>
        <w:ind w:right="11" w:firstLine="640" w:firstLineChars="200"/>
        <w:jc w:val="both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（十二）自然资源海洋气象等支出2023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239.96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0，</w:t>
      </w:r>
      <w:r>
        <w:rPr>
          <w:rFonts w:hint="eastAsia" w:ascii="仿宋_GB2312" w:hAnsi="宋体" w:eastAsia="仿宋_GB2312" w:cs="宋体"/>
          <w:sz w:val="32"/>
          <w:szCs w:val="32"/>
        </w:rPr>
        <w:t>主要为专项转移支付资金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324" w:lineRule="auto"/>
        <w:ind w:right="11" w:firstLine="640" w:firstLineChars="200"/>
        <w:jc w:val="both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（十三）住房保障支出2023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1810.21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0，</w:t>
      </w:r>
      <w:r>
        <w:rPr>
          <w:rFonts w:hint="eastAsia" w:ascii="仿宋_GB2312" w:hAnsi="宋体" w:eastAsia="仿宋_GB2312" w:cs="宋体"/>
          <w:sz w:val="32"/>
          <w:szCs w:val="32"/>
        </w:rPr>
        <w:t>主要为专项转移支付资金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324" w:lineRule="auto"/>
        <w:ind w:right="11" w:firstLine="640" w:firstLineChars="200"/>
        <w:jc w:val="both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（十四）</w:t>
      </w:r>
      <w:r>
        <w:rPr>
          <w:rFonts w:hint="eastAsia" w:ascii="仿宋_GB2312" w:hAnsi="宋体" w:eastAsia="仿宋_GB2312" w:cs="宋体"/>
          <w:sz w:val="32"/>
          <w:szCs w:val="32"/>
        </w:rPr>
        <w:t>灾害防治及应急管理支出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49.56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为调整预算数的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49.56</w:t>
      </w:r>
      <w:r>
        <w:rPr>
          <w:rFonts w:hint="eastAsia" w:ascii="仿宋_GB2312" w:hAnsi="宋体" w:eastAsia="仿宋_GB2312" w:cs="宋体"/>
          <w:sz w:val="32"/>
          <w:szCs w:val="32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，主要是项目支出有所减少。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2023</w:t>
      </w:r>
      <w:r>
        <w:rPr>
          <w:rFonts w:hint="eastAsia" w:ascii="黑体" w:hAnsi="黑体" w:eastAsia="黑体" w:cs="黑体"/>
          <w:sz w:val="32"/>
          <w:szCs w:val="32"/>
        </w:rPr>
        <w:t>年一般公共预算基本支出决算表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ind w:firstLine="640" w:firstLineChars="20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大兴区庞各庄镇2023年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一般公共预算基本支出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决算数为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10229.6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具体包括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：</w:t>
      </w:r>
    </w:p>
    <w:p>
      <w:pPr>
        <w:ind w:firstLine="640" w:firstLineChars="20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机关工资福利支出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6479.41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万元（具体款级项目见套表）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；</w:t>
      </w:r>
    </w:p>
    <w:p>
      <w:pPr>
        <w:ind w:firstLine="640" w:firstLineChars="20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机关商品和服务支出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445.89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万元（具体款级项目见套表）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；</w:t>
      </w:r>
    </w:p>
    <w:p>
      <w:pPr>
        <w:ind w:firstLine="640" w:firstLineChars="20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对事业单位经常性补助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2878.39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万元（具体款级项目见套表）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；</w:t>
      </w:r>
    </w:p>
    <w:p>
      <w:pPr>
        <w:ind w:firstLine="640" w:firstLineChars="20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对个人和家庭的补助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425.91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万元（具体款级项目见套表）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；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2023</w:t>
      </w:r>
      <w:r>
        <w:rPr>
          <w:rFonts w:hint="eastAsia" w:ascii="黑体" w:hAnsi="黑体" w:eastAsia="黑体" w:cs="黑体"/>
          <w:sz w:val="32"/>
          <w:szCs w:val="32"/>
        </w:rPr>
        <w:t>年一般公共预算“三公经费”财政拨款支出决算表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庞各庄</w:t>
      </w:r>
      <w:r>
        <w:rPr>
          <w:rFonts w:hint="eastAsia" w:ascii="仿宋_GB2312" w:hAnsi="宋体" w:eastAsia="仿宋_GB2312" w:cs="宋体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年因公出国（境）费用、公务接待费、公务用车费3项费用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年决算数共计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30.41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较调整预算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86万元，减少55.59万元，减少64.64%，</w:t>
      </w:r>
      <w:r>
        <w:rPr>
          <w:rFonts w:hint="eastAsia" w:ascii="仿宋_GB2312" w:hAnsi="宋体" w:eastAsia="仿宋_GB2312" w:cs="宋体"/>
          <w:sz w:val="32"/>
          <w:szCs w:val="32"/>
        </w:rPr>
        <w:t>主要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是贯彻落实公务用车使用管理有关规定和过“紧日子”思想，实现厉行节约常态化。其中：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（一）因公出国（境）费用：2023年</w:t>
      </w:r>
      <w:r>
        <w:rPr>
          <w:rFonts w:hint="eastAsia" w:ascii="仿宋_GB2312" w:hAnsi="宋体" w:eastAsia="仿宋_GB2312" w:cs="宋体"/>
          <w:sz w:val="32"/>
          <w:szCs w:val="32"/>
        </w:rPr>
        <w:t>决算数0.00万元，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年未安排预</w:t>
      </w:r>
      <w:r>
        <w:rPr>
          <w:rFonts w:hint="eastAsia" w:ascii="仿宋_GB2312" w:hAnsi="宋体" w:eastAsia="仿宋_GB2312" w:cs="宋体"/>
          <w:sz w:val="32"/>
          <w:szCs w:val="32"/>
          <w:highlight w:val="none"/>
        </w:rPr>
        <w:t>算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eastAsia="zh-CN"/>
        </w:rPr>
        <w:t>，无增减变化。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（二）公务接待费：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年决算数0.00万元，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3.5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年决算数比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预算数减少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3.5</w:t>
      </w:r>
      <w:r>
        <w:rPr>
          <w:rFonts w:hint="eastAsia" w:ascii="仿宋_GB2312" w:hAnsi="宋体" w:eastAsia="仿宋_GB2312" w:cs="宋体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560" w:lineRule="exact"/>
        <w:ind w:left="25" w:right="11" w:firstLine="654"/>
        <w:jc w:val="both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（三）公务用车费（含公务用车运行维护费用支出、公务用车购置费用支出）：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30.41</w:t>
      </w:r>
      <w:r>
        <w:rPr>
          <w:rFonts w:hint="eastAsia" w:ascii="仿宋_GB2312" w:hAnsi="宋体" w:eastAsia="仿宋_GB2312" w:cs="宋体"/>
          <w:sz w:val="32"/>
          <w:szCs w:val="32"/>
        </w:rPr>
        <w:t>万元，其中：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560" w:lineRule="exact"/>
        <w:ind w:left="25" w:right="11" w:firstLine="654"/>
        <w:jc w:val="both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公务用车运行维护费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30.41</w:t>
      </w:r>
      <w:r>
        <w:rPr>
          <w:rFonts w:hint="eastAsia" w:ascii="仿宋_GB2312" w:hAnsi="宋体" w:eastAsia="仿宋_GB2312" w:cs="宋体"/>
          <w:sz w:val="32"/>
          <w:szCs w:val="32"/>
        </w:rPr>
        <w:t>万元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比年初预算数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82.5</w:t>
      </w:r>
      <w:r>
        <w:rPr>
          <w:rFonts w:hint="eastAsia" w:ascii="仿宋_GB2312" w:hAnsi="宋体" w:eastAsia="仿宋_GB2312" w:cs="宋体"/>
          <w:sz w:val="32"/>
          <w:szCs w:val="32"/>
        </w:rPr>
        <w:t>万元减少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52.09</w:t>
      </w:r>
      <w:r>
        <w:rPr>
          <w:rFonts w:hint="eastAsia" w:ascii="仿宋_GB2312" w:hAnsi="宋体" w:eastAsia="仿宋_GB2312" w:cs="宋体"/>
          <w:sz w:val="32"/>
          <w:szCs w:val="32"/>
        </w:rPr>
        <w:t>万元，下降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63.14</w:t>
      </w:r>
      <w:r>
        <w:rPr>
          <w:rFonts w:hint="eastAsia" w:ascii="仿宋_GB2312" w:hAnsi="宋体" w:eastAsia="仿宋_GB2312" w:cs="宋体"/>
          <w:sz w:val="32"/>
          <w:szCs w:val="32"/>
        </w:rPr>
        <w:t>%。主要原因为贯彻落实公务用车使用管理有关规定和过“紧日子”思想，实现厉行节约常态化。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0" w:line="560" w:lineRule="exact"/>
        <w:ind w:left="25" w:right="11" w:firstLine="654"/>
        <w:jc w:val="both"/>
        <w:textAlignment w:val="auto"/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公务用车购置决算数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年未安排预算</w:t>
      </w:r>
      <w:r>
        <w:rPr>
          <w:rFonts w:hint="eastAsia" w:ascii="仿宋_GB2312" w:hAnsi="宋体" w:eastAsia="仿宋_GB2312" w:cs="宋体"/>
          <w:sz w:val="32"/>
          <w:szCs w:val="32"/>
          <w:highlight w:val="none"/>
          <w:lang w:eastAsia="zh-CN"/>
        </w:rPr>
        <w:t>，无增减变化。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六、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2023</w:t>
      </w:r>
      <w:r>
        <w:rPr>
          <w:rFonts w:hint="eastAsia" w:ascii="黑体" w:hAnsi="黑体" w:eastAsia="黑体" w:cs="黑体"/>
          <w:sz w:val="32"/>
          <w:szCs w:val="32"/>
        </w:rPr>
        <w:t>年政府性基金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预算</w:t>
      </w:r>
      <w:r>
        <w:rPr>
          <w:rFonts w:hint="eastAsia" w:ascii="黑体" w:hAnsi="黑体" w:eastAsia="黑体" w:cs="黑体"/>
          <w:sz w:val="32"/>
          <w:szCs w:val="32"/>
        </w:rPr>
        <w:t>收入决算表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line="560" w:lineRule="exact"/>
        <w:ind w:firstLine="640" w:firstLineChars="20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七、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2023</w:t>
      </w:r>
      <w:r>
        <w:rPr>
          <w:rFonts w:hint="eastAsia" w:ascii="黑体" w:hAnsi="黑体" w:eastAsia="黑体" w:cs="黑体"/>
          <w:sz w:val="32"/>
          <w:szCs w:val="32"/>
        </w:rPr>
        <w:t>年政府性基金预算支出决算表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庞各庄</w:t>
      </w:r>
      <w:r>
        <w:rPr>
          <w:rFonts w:hint="eastAsia" w:ascii="仿宋_GB2312" w:hAnsi="宋体" w:eastAsia="仿宋_GB2312" w:cs="宋体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年政府性基金预算支出决算数为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14034.89</w:t>
      </w:r>
      <w:r>
        <w:rPr>
          <w:rFonts w:hint="eastAsia" w:ascii="仿宋_GB2312" w:hAnsi="宋体" w:eastAsia="仿宋_GB2312" w:cs="宋体"/>
          <w:sz w:val="32"/>
          <w:szCs w:val="32"/>
        </w:rPr>
        <w:t>万元，为调整预算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数</w:t>
      </w:r>
      <w:r>
        <w:rPr>
          <w:rFonts w:hint="eastAsia" w:ascii="仿宋_GB2312" w:hAnsi="宋体" w:eastAsia="仿宋_GB2312" w:cs="宋体"/>
          <w:sz w:val="32"/>
          <w:szCs w:val="32"/>
        </w:rPr>
        <w:t>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632</w:t>
      </w:r>
      <w:r>
        <w:rPr>
          <w:rFonts w:hint="eastAsia" w:ascii="仿宋_GB2312" w:hAnsi="宋体" w:eastAsia="仿宋_GB2312" w:cs="宋体"/>
          <w:sz w:val="32"/>
          <w:szCs w:val="32"/>
        </w:rPr>
        <w:t>%，支出较调整预算变动的原因主要是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上级专项转移支付增加；上解支出较年初无变化。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2023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本级</w:t>
      </w:r>
      <w:r>
        <w:rPr>
          <w:rFonts w:hint="eastAsia" w:ascii="黑体" w:hAnsi="黑体" w:eastAsia="黑体" w:cs="黑体"/>
          <w:sz w:val="32"/>
          <w:szCs w:val="32"/>
        </w:rPr>
        <w:t>政府性基金预算支出决算表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庞各庄</w:t>
      </w:r>
      <w:r>
        <w:rPr>
          <w:rFonts w:hint="eastAsia" w:ascii="仿宋_GB2312" w:hAnsi="宋体" w:eastAsia="仿宋_GB2312" w:cs="宋体"/>
          <w:sz w:val="32"/>
          <w:szCs w:val="32"/>
        </w:rPr>
        <w:t>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年政府性基金预算支出决算数为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14034.89</w:t>
      </w:r>
      <w:r>
        <w:rPr>
          <w:rFonts w:hint="eastAsia" w:ascii="仿宋_GB2312" w:hAnsi="宋体" w:eastAsia="仿宋_GB2312" w:cs="宋体"/>
          <w:sz w:val="32"/>
          <w:szCs w:val="32"/>
        </w:rPr>
        <w:t>万元，为调整预算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数</w:t>
      </w:r>
      <w:r>
        <w:rPr>
          <w:rFonts w:hint="eastAsia" w:ascii="仿宋_GB2312" w:hAnsi="宋体" w:eastAsia="仿宋_GB2312" w:cs="宋体"/>
          <w:sz w:val="32"/>
          <w:szCs w:val="32"/>
        </w:rPr>
        <w:t>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632</w:t>
      </w:r>
      <w:r>
        <w:rPr>
          <w:rFonts w:hint="eastAsia" w:ascii="仿宋_GB2312" w:hAnsi="宋体" w:eastAsia="仿宋_GB2312" w:cs="宋体"/>
          <w:sz w:val="32"/>
          <w:szCs w:val="32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,</w:t>
      </w:r>
      <w:r>
        <w:rPr>
          <w:rFonts w:hint="eastAsia" w:ascii="仿宋_GB2312" w:hAnsi="宋体" w:eastAsia="仿宋_GB2312" w:cs="宋体"/>
          <w:sz w:val="32"/>
          <w:szCs w:val="32"/>
        </w:rPr>
        <w:t>支出较调整预算变动的原因主要是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上级专项转移支付增加。其中：</w:t>
      </w:r>
      <w:r>
        <w:rPr>
          <w:rFonts w:hint="eastAsia" w:ascii="仿宋_GB2312" w:hAnsi="宋体" w:eastAsia="仿宋_GB2312" w:cs="宋体"/>
          <w:sz w:val="32"/>
          <w:szCs w:val="32"/>
        </w:rPr>
        <w:t>城乡社区支出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14034.89</w:t>
      </w:r>
      <w:r>
        <w:rPr>
          <w:rFonts w:hint="eastAsia" w:ascii="仿宋_GB2312" w:hAnsi="宋体" w:eastAsia="仿宋_GB2312" w:cs="宋体"/>
          <w:sz w:val="32"/>
          <w:szCs w:val="32"/>
        </w:rPr>
        <w:t>万元,为调整预算数的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632</w:t>
      </w:r>
      <w:r>
        <w:rPr>
          <w:rFonts w:hint="eastAsia" w:ascii="仿宋_GB2312" w:hAnsi="宋体" w:eastAsia="仿宋_GB2312" w:cs="宋体"/>
          <w:sz w:val="32"/>
          <w:szCs w:val="32"/>
        </w:rPr>
        <w:t>%，</w:t>
      </w:r>
      <w:r>
        <w:rPr>
          <w:rFonts w:hint="eastAsia" w:ascii="仿宋_GB2312" w:hAnsi="宋体" w:eastAsia="仿宋_GB2312" w:cs="宋体"/>
          <w:sz w:val="32"/>
          <w:szCs w:val="32"/>
        </w:rPr>
        <w:t>主要是上级专项转移支付增加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九、关于《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2023</w:t>
      </w:r>
      <w:r>
        <w:rPr>
          <w:rFonts w:hint="eastAsia" w:ascii="黑体" w:hAnsi="黑体" w:eastAsia="黑体" w:cs="黑体"/>
          <w:sz w:val="32"/>
          <w:szCs w:val="32"/>
        </w:rPr>
        <w:t>年国有资本经营预算收入决算表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2023</w:t>
      </w:r>
      <w:r>
        <w:rPr>
          <w:rFonts w:hint="eastAsia" w:ascii="黑体" w:hAnsi="黑体" w:eastAsia="黑体" w:cs="黑体"/>
          <w:sz w:val="32"/>
          <w:szCs w:val="32"/>
        </w:rPr>
        <w:t>年国有资本经营预算支出决算表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line="560" w:lineRule="exact"/>
        <w:ind w:left="525" w:leftChars="25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十一、关于《</w:t>
      </w:r>
      <w:r>
        <w:rPr>
          <w:rFonts w:hint="eastAsia" w:ascii="黑体" w:hAnsi="黑体" w:eastAsia="黑体" w:cs="黑体"/>
          <w:sz w:val="32"/>
          <w:szCs w:val="32"/>
        </w:rPr>
        <w:t>大兴区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庞各庄</w:t>
      </w:r>
      <w:r>
        <w:rPr>
          <w:rFonts w:hint="eastAsia" w:ascii="黑体" w:hAnsi="黑体" w:eastAsia="黑体" w:cs="黑体"/>
          <w:sz w:val="32"/>
          <w:szCs w:val="32"/>
        </w:rPr>
        <w:t>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2023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本级</w:t>
      </w:r>
      <w:r>
        <w:rPr>
          <w:rFonts w:hint="eastAsia" w:ascii="黑体" w:hAnsi="黑体" w:eastAsia="黑体" w:cs="黑体"/>
          <w:sz w:val="32"/>
          <w:szCs w:val="32"/>
        </w:rPr>
        <w:t>国有资本经营预算支出决算表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line="560" w:lineRule="exact"/>
        <w:ind w:left="525" w:leftChars="25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十二、关于《大兴区庞各庄镇2023年社会保险基金预算收入决算表》的说明</w:t>
      </w:r>
    </w:p>
    <w:p>
      <w:pPr>
        <w:spacing w:line="560" w:lineRule="exact"/>
        <w:ind w:left="525" w:leftChars="25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十三、关于《大兴区庞各庄镇2023年社会保险基金预算支出决算表》的说明</w:t>
      </w:r>
    </w:p>
    <w:p>
      <w:pPr>
        <w:spacing w:line="560" w:lineRule="exact"/>
        <w:ind w:left="525" w:leftChars="25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十四、关于《大兴区庞各庄镇2023年一般公共预算税收返还和转移支付表》的说明</w:t>
      </w:r>
    </w:p>
    <w:p>
      <w:pPr>
        <w:spacing w:line="560" w:lineRule="exact"/>
        <w:ind w:left="525" w:leftChars="25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十五、关于《大兴区庞各庄镇2023年政府性基金转移支付表》的说明</w:t>
      </w:r>
    </w:p>
    <w:p>
      <w:pPr>
        <w:spacing w:line="560" w:lineRule="exact"/>
        <w:ind w:left="525" w:leftChars="25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numPr>
          <w:ilvl w:val="0"/>
          <w:numId w:val="1"/>
        </w:num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关于《大兴区庞各庄镇2023年专项转移支付执行情况表》的说明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2023年大兴区庞各庄镇专项转移支付支出38982.63万元，其中一般公共预算支出27167.74万元，政府性基金预算支出11814.89万元。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在一般公共预算专项转移支付支出中，主要支出科目如下：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一般公共服务支出391.6万元；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default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教育支出439万元；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文化旅游体育与传媒支出101.5万元；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社会保障和就业支出854.56万元；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卫生健康支出1714.63万元；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节能环保支出759.74万元；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城乡社区支出178万元；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农林水支出20380.09万元；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default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交通运输支出300万元；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自然资源海洋气象等支出239.96万元；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住房保障支出1808.66万元。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在政府性基金预算专项转移支付中，主要支出科目如下：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城乡社区支出11814.89万元。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十七、关于《大兴区庞各庄镇2023年地方政府债务限额及余额决算情况表》的说明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十八、关于《大兴区庞各庄镇2023年地方政府一般债务余额情况表》的说明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十九、关于《大兴区庞各庄镇2023年地方政府专项债务余额情况表》的说明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二十、关于《2023年新增地方政府债券使用情况表》的说明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二十一、关于《2023年地方政府债务发行及还本付息情况表》的说明</w:t>
      </w:r>
    </w:p>
    <w:p>
      <w:pPr>
        <w:pStyle w:val="2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二十二、关于《大兴区庞各庄镇2023年政府采购情况表》的说明</w:t>
      </w:r>
    </w:p>
    <w:p>
      <w:pPr>
        <w:widowControl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庞各庄镇2023年政府采购支出3019.98万元，其中：货物支出1311.84万元，工程支出206.52万元，服务支出1501.62万元；授予中小企业合同金额3003.27万元，其中：授予小微企业合同金额2489.85万元。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二十三、关于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《大兴区庞各庄镇2023年政府购买服务支出情况表》的说明</w:t>
      </w:r>
    </w:p>
    <w:p>
      <w:pPr>
        <w:ind w:firstLine="640" w:firstLineChars="200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庞各庄镇2023年政府购买服务支出1501.62万元，其中：公共服务983.02万元，政府履职辅助性服务518.6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万元。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二十四</w:t>
      </w:r>
      <w:r>
        <w:rPr>
          <w:rFonts w:hint="eastAsia" w:ascii="黑体" w:hAnsi="黑体" w:eastAsia="黑体" w:cs="黑体"/>
          <w:sz w:val="32"/>
          <w:szCs w:val="32"/>
        </w:rPr>
        <w:t>、其他重要事项的情况说明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 w:cs="宋体"/>
          <w:sz w:val="32"/>
          <w:szCs w:val="32"/>
        </w:rPr>
        <w:t>举借债务情况说明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Arial"/>
          <w:b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无</w:t>
      </w:r>
      <w:r>
        <w:rPr>
          <w:rFonts w:hint="eastAsia" w:ascii="仿宋_GB2312" w:hAnsi="宋体" w:eastAsia="仿宋_GB2312" w:cs="宋体"/>
          <w:sz w:val="32"/>
          <w:szCs w:val="32"/>
        </w:rPr>
        <w:t>举借债务情况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Arial"/>
          <w:b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2.预</w:t>
      </w:r>
      <w:r>
        <w:rPr>
          <w:rFonts w:hint="eastAsia" w:eastAsia="仿宋_GB2312" w:cs="Arial"/>
          <w:b w:val="0"/>
          <w:color w:val="auto"/>
          <w:kern w:val="0"/>
          <w:sz w:val="32"/>
          <w:szCs w:val="32"/>
          <w:lang w:val="en-US" w:eastAsia="zh-CN"/>
        </w:rPr>
        <w:t>算绩效管理情况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3年我镇认真落实各级部门决策部署，不断加强财政资源统筹，提高财政支出精确性、有效性，同时</w:t>
      </w:r>
      <w:r>
        <w:rPr>
          <w:rFonts w:hint="eastAsia" w:ascii="仿宋_GB2312" w:hAnsi="仿宋_GB2312" w:eastAsia="仿宋_GB2312" w:cs="仿宋_GB2312"/>
          <w:sz w:val="32"/>
          <w:szCs w:val="32"/>
          <w14:ligatures w14:val="none"/>
        </w:rPr>
        <w:t>积极探索、持续深耕，推动绩效管理向“务实、高效、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节约</w:t>
      </w:r>
      <w:r>
        <w:rPr>
          <w:rFonts w:hint="eastAsia" w:ascii="仿宋_GB2312" w:hAnsi="仿宋_GB2312" w:eastAsia="仿宋_GB2312" w:cs="仿宋_GB2312"/>
          <w:sz w:val="32"/>
          <w:szCs w:val="32"/>
          <w14:ligatures w14:val="none"/>
        </w:rPr>
        <w:t>”纵深推进，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实现所有预算项目绩效目标、绩效自评全覆盖；</w:t>
      </w:r>
      <w:r>
        <w:rPr>
          <w:rFonts w:hint="eastAsia" w:ascii="仿宋_GB2312" w:hAnsi="仿宋_GB2312" w:eastAsia="仿宋_GB2312" w:cs="仿宋_GB2312"/>
          <w:sz w:val="32"/>
          <w:szCs w:val="32"/>
          <w14:ligatures w14:val="none"/>
        </w:rPr>
        <w:t>从</w:t>
      </w:r>
      <w:r>
        <w:rPr>
          <w:rFonts w:ascii="仿宋_GB2312" w:hAnsi="仿宋_GB2312" w:eastAsia="仿宋_GB2312" w:cs="仿宋_GB2312"/>
          <w:sz w:val="32"/>
          <w:szCs w:val="32"/>
          <w14:ligatures w14:val="none"/>
        </w:rPr>
        <w:t>预算投入、成本构成、产出规模与质量等</w:t>
      </w:r>
      <w:r>
        <w:rPr>
          <w:rFonts w:hint="eastAsia" w:ascii="仿宋_GB2312" w:hAnsi="仿宋_GB2312" w:eastAsia="仿宋_GB2312" w:cs="仿宋_GB2312"/>
          <w:sz w:val="32"/>
          <w:szCs w:val="32"/>
          <w14:ligatures w14:val="none"/>
        </w:rPr>
        <w:t>方面入手</w:t>
      </w:r>
      <w:r>
        <w:rPr>
          <w:rFonts w:ascii="仿宋_GB2312" w:hAnsi="仿宋_GB2312" w:eastAsia="仿宋_GB2312" w:cs="仿宋_GB2312"/>
          <w:sz w:val="32"/>
          <w:szCs w:val="32"/>
          <w14:ligatures w14:val="none"/>
        </w:rPr>
        <w:t>，选取所有服务</w:t>
      </w:r>
      <w:r>
        <w:rPr>
          <w:rFonts w:hint="eastAsia" w:ascii="仿宋_GB2312" w:hAnsi="仿宋_GB2312" w:eastAsia="仿宋_GB2312" w:cs="仿宋_GB2312"/>
          <w:sz w:val="32"/>
          <w:szCs w:val="32"/>
          <w14:ligatures w14:val="none"/>
        </w:rPr>
        <w:t>类</w:t>
      </w:r>
      <w:r>
        <w:rPr>
          <w:rFonts w:ascii="仿宋_GB2312" w:hAnsi="仿宋_GB2312" w:eastAsia="仿宋_GB2312" w:cs="仿宋_GB2312"/>
          <w:sz w:val="32"/>
          <w:szCs w:val="32"/>
          <w14:ligatures w14:val="none"/>
        </w:rPr>
        <w:t>项目开展成本绩效分析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14:ligatures w14:val="none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成本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效益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两端作为抓手，并把分析结果作为今后安排预算的重要依据，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  <w14:ligatures w14:val="none"/>
        </w:rPr>
        <w:t>促进</w:t>
      </w:r>
      <w:r>
        <w:rPr>
          <w:rFonts w:ascii="仿宋_GB2312" w:hAnsi="仿宋_GB2312" w:eastAsia="仿宋_GB2312" w:cs="仿宋_GB2312"/>
          <w:sz w:val="32"/>
          <w:szCs w:val="32"/>
          <w14:ligatures w14:val="none"/>
        </w:rPr>
        <w:t>财政资金使用效益不断提高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  <w14:ligatures w14:val="none"/>
        </w:rPr>
        <w:t>。</w:t>
      </w:r>
    </w:p>
    <w:p>
      <w:pPr>
        <w:numPr>
          <w:ilvl w:val="0"/>
          <w:numId w:val="0"/>
        </w:numPr>
        <w:spacing w:line="560" w:lineRule="exact"/>
        <w:jc w:val="left"/>
        <w:rPr>
          <w:rFonts w:hint="default" w:ascii="Times New Roman" w:hAnsi="Times New Roman" w:eastAsia="仿宋_GB2312" w:cs="Arial"/>
          <w:b w:val="0"/>
          <w:color w:val="auto"/>
          <w:kern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3B3179"/>
    <w:multiLevelType w:val="singleLevel"/>
    <w:tmpl w:val="DE3B3179"/>
    <w:lvl w:ilvl="0" w:tentative="0">
      <w:start w:val="1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YjRkMDMzMGE1Zjk0MTgxZjBhMmJmYjY4YTU2N2QifQ=="/>
  </w:docVars>
  <w:rsids>
    <w:rsidRoot w:val="004622E6"/>
    <w:rsid w:val="003F6819"/>
    <w:rsid w:val="004622E6"/>
    <w:rsid w:val="00604A03"/>
    <w:rsid w:val="00625E69"/>
    <w:rsid w:val="00723D69"/>
    <w:rsid w:val="00771FE6"/>
    <w:rsid w:val="009D3D6E"/>
    <w:rsid w:val="00B00A68"/>
    <w:rsid w:val="00B304C3"/>
    <w:rsid w:val="00BD536F"/>
    <w:rsid w:val="018D5F67"/>
    <w:rsid w:val="064D0B7E"/>
    <w:rsid w:val="09C6634E"/>
    <w:rsid w:val="0A5B1BB2"/>
    <w:rsid w:val="0C7A1250"/>
    <w:rsid w:val="0ED00973"/>
    <w:rsid w:val="0ED71AC8"/>
    <w:rsid w:val="10214FAB"/>
    <w:rsid w:val="11E03588"/>
    <w:rsid w:val="14D93D23"/>
    <w:rsid w:val="167E6BDE"/>
    <w:rsid w:val="182C2A78"/>
    <w:rsid w:val="280E0D23"/>
    <w:rsid w:val="28FE4ABC"/>
    <w:rsid w:val="297E2A9F"/>
    <w:rsid w:val="2A4915C1"/>
    <w:rsid w:val="2F43620C"/>
    <w:rsid w:val="2FB77CD1"/>
    <w:rsid w:val="2FC56F08"/>
    <w:rsid w:val="311144DB"/>
    <w:rsid w:val="319C3F0E"/>
    <w:rsid w:val="32E259AF"/>
    <w:rsid w:val="32EF792F"/>
    <w:rsid w:val="32F639CE"/>
    <w:rsid w:val="3354553F"/>
    <w:rsid w:val="39C05EEE"/>
    <w:rsid w:val="3B3C3767"/>
    <w:rsid w:val="3B6C7CD2"/>
    <w:rsid w:val="3F3074F0"/>
    <w:rsid w:val="3FA64D14"/>
    <w:rsid w:val="47412FDC"/>
    <w:rsid w:val="4A23641B"/>
    <w:rsid w:val="4CF07BED"/>
    <w:rsid w:val="4D6D03F6"/>
    <w:rsid w:val="4F094E86"/>
    <w:rsid w:val="51313126"/>
    <w:rsid w:val="56283A96"/>
    <w:rsid w:val="57F2192D"/>
    <w:rsid w:val="5A6203B5"/>
    <w:rsid w:val="5C8001D2"/>
    <w:rsid w:val="630D41A9"/>
    <w:rsid w:val="6437590D"/>
    <w:rsid w:val="66DC7218"/>
    <w:rsid w:val="67C53578"/>
    <w:rsid w:val="69751BE3"/>
    <w:rsid w:val="6D1719EB"/>
    <w:rsid w:val="6E6E665B"/>
    <w:rsid w:val="6FC744AF"/>
    <w:rsid w:val="6FD17C1C"/>
    <w:rsid w:val="73B20806"/>
    <w:rsid w:val="741337E8"/>
    <w:rsid w:val="767223DF"/>
    <w:rsid w:val="77C04626"/>
    <w:rsid w:val="7BFF4C64"/>
    <w:rsid w:val="7EB5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next w:val="1"/>
    <w:qFormat/>
    <w:uiPriority w:val="0"/>
    <w:pPr>
      <w:adjustRightInd w:val="0"/>
      <w:spacing w:line="560" w:lineRule="exact"/>
      <w:ind w:firstLine="640" w:firstLineChars="200"/>
    </w:pPr>
    <w:rPr>
      <w:rFonts w:ascii="楷体_GB2312" w:eastAsia="楷体_GB2312"/>
      <w:sz w:val="32"/>
      <w:szCs w:val="32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2776</Words>
  <Characters>3397</Characters>
  <Lines>16</Lines>
  <Paragraphs>4</Paragraphs>
  <TotalTime>12</TotalTime>
  <ScaleCrop>false</ScaleCrop>
  <LinksUpToDate>false</LinksUpToDate>
  <CharactersWithSpaces>3410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2023-08-31T02:19:00Z</dcterms:created>
  <dc:creator>YANG</dc:creator>
  <cp:lastModifiedBy>加里奥</cp:lastModifiedBy>
  <dcterms:modified xsi:type="dcterms:W3CDTF">2024-10-09T05:05:11Z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743B02F4139F4D068A022FB006814BE7_12</vt:lpwstr>
  </property>
</Properties>
</file>