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327"/>
        <w:gridCol w:w="975"/>
        <w:gridCol w:w="428"/>
        <w:gridCol w:w="236"/>
        <w:gridCol w:w="236"/>
        <w:gridCol w:w="208"/>
        <w:gridCol w:w="992"/>
        <w:gridCol w:w="992"/>
        <w:gridCol w:w="1276"/>
        <w:gridCol w:w="38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84" w:hRule="atLeast"/>
        </w:trPr>
        <w:tc>
          <w:tcPr>
            <w:tcW w:w="11023" w:type="dxa"/>
            <w:gridSpan w:val="13"/>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11" w:hRule="atLeast"/>
        </w:trPr>
        <w:tc>
          <w:tcPr>
            <w:tcW w:w="11023" w:type="dxa"/>
            <w:gridSpan w:val="13"/>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3</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3"/>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10"/>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北臧村镇创建“基本无违法建设区”举证上账工作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3145" w:type="dxa"/>
            <w:gridSpan w:val="3"/>
            <w:tcBorders>
              <w:top w:val="single" w:color="auto" w:sz="4" w:space="0"/>
              <w:left w:val="nil"/>
              <w:bottom w:val="single" w:color="auto" w:sz="4" w:space="0"/>
              <w:right w:val="single" w:color="000000" w:sz="4" w:space="0"/>
            </w:tcBorders>
            <w:vAlign w:val="center"/>
          </w:tcPr>
          <w:p>
            <w:pPr>
              <w:widowControl/>
              <w:jc w:val="center"/>
              <w:rPr>
                <w:rFonts w:hint="default" w:ascii="宋体" w:hAnsi="宋体" w:cs="宋体"/>
                <w:color w:val="000000"/>
                <w:kern w:val="0"/>
                <w:sz w:val="24"/>
                <w:lang w:val="en-US"/>
              </w:rPr>
            </w:pP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9264;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A0Asn8zAEAAKM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MyKZDvvWT5EkkrT0PN&#10;SwlOSc6sojtQdgQIfQZj/8aTUltPFRShr9KW3SHIC3XmGLGocdO1+tAk1HpvU1tG7edzRXq+W5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YtmMNcAAAAJAQAADwAAAAAAAAABACAAAAAiAAAAZHJz&#10;L2Rvd25yZXYueG1sUEsBAhQAFAAAAAgAh07iQDQCyfzMAQAAowMAAA4AAAAAAAAAAQAgAAAAJgEA&#10;AGRycy9lMm9Eb2MueG1sUEsFBgAAAAAGAAYAWQEAAGQFAAAAAA==&#10;">
                      <v:fill on="f" focussize="0,0"/>
                      <v:stroke color="#000000" joinstyle="round"/>
                      <v:imagedata o:title=""/>
                      <o:lock v:ext="edit" aspectratio="f"/>
                    </v:shape>
                  </w:pict>
                </mc:Fallback>
              </mc:AlternateContent>
            </w:r>
            <w:r>
              <w:rPr>
                <w:rFonts w:hint="eastAsia" w:ascii="宋体" w:hAnsi="宋体" w:cs="宋体"/>
                <w:color w:val="000000"/>
                <w:kern w:val="0"/>
                <w:sz w:val="24"/>
                <w:lang w:val="en-US" w:eastAsia="zh-CN"/>
              </w:rPr>
              <w:t>北臧村镇人民政府</w:t>
            </w:r>
          </w:p>
        </w:tc>
        <w:tc>
          <w:tcPr>
            <w:tcW w:w="1108"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北臧村镇综合行政执法队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302" w:type="dxa"/>
            <w:gridSpan w:val="2"/>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108"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年度资金总额：</w:t>
            </w:r>
          </w:p>
        </w:tc>
        <w:tc>
          <w:tcPr>
            <w:tcW w:w="1302"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83.2</w:t>
            </w:r>
          </w:p>
        </w:tc>
        <w:tc>
          <w:tcPr>
            <w:tcW w:w="1108" w:type="dxa"/>
            <w:gridSpan w:val="4"/>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83.2</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100%</w:t>
            </w:r>
          </w:p>
        </w:tc>
        <w:tc>
          <w:tcPr>
            <w:tcW w:w="1276"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其中:财政拨款</w:t>
            </w:r>
          </w:p>
        </w:tc>
        <w:tc>
          <w:tcPr>
            <w:tcW w:w="1302"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83.2</w:t>
            </w:r>
          </w:p>
        </w:tc>
        <w:tc>
          <w:tcPr>
            <w:tcW w:w="1108" w:type="dxa"/>
            <w:gridSpan w:val="4"/>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83.2</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其他资金</w:t>
            </w:r>
          </w:p>
        </w:tc>
        <w:tc>
          <w:tcPr>
            <w:tcW w:w="130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108"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1230"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809" w:type="dxa"/>
            <w:gridSpan w:val="5"/>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年初设定目标：完成北臧村“创建基本无违法建设区”三年行动计划创建工作</w:t>
            </w:r>
          </w:p>
          <w:p>
            <w:pPr>
              <w:widowControl/>
              <w:jc w:val="center"/>
              <w:rPr>
                <w:rFonts w:ascii="宋体" w:hAnsi="宋体" w:cs="宋体"/>
                <w:color w:val="000000"/>
                <w:kern w:val="0"/>
                <w:sz w:val="24"/>
              </w:rPr>
            </w:pPr>
          </w:p>
        </w:tc>
        <w:tc>
          <w:tcPr>
            <w:tcW w:w="4368"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年度总体目标完成情况综述：按照市、区两级要求，完成全部“创无”工作，全部举证类图斑在北京市严厉打击违法用地违法建设专项行动信息平台中上报</w:t>
            </w:r>
          </w:p>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21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10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21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限期整治类项目销账率</w:t>
            </w:r>
          </w:p>
        </w:tc>
        <w:tc>
          <w:tcPr>
            <w:tcW w:w="97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eastAsia="宋体"/>
                <w:kern w:val="0"/>
                <w:sz w:val="24"/>
                <w:lang w:val="en-US" w:eastAsia="zh-CN"/>
              </w:rPr>
            </w:pPr>
            <w:r>
              <w:rPr>
                <w:rFonts w:hint="eastAsia"/>
              </w:rPr>
              <w:t>≥</w:t>
            </w:r>
            <w:r>
              <w:rPr>
                <w:rFonts w:hint="eastAsia"/>
                <w:lang w:val="en-US" w:eastAsia="zh-CN"/>
              </w:rPr>
              <w:t>95%</w:t>
            </w:r>
          </w:p>
        </w:tc>
        <w:tc>
          <w:tcPr>
            <w:tcW w:w="1108"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15</w:t>
            </w:r>
          </w:p>
        </w:tc>
        <w:tc>
          <w:tcPr>
            <w:tcW w:w="99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2170" w:type="dxa"/>
            <w:gridSpan w:val="2"/>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rPr>
              <w:t>其他类图斑分类举证办结率</w:t>
            </w:r>
          </w:p>
        </w:tc>
        <w:tc>
          <w:tcPr>
            <w:tcW w:w="975" w:type="dxa"/>
            <w:tcBorders>
              <w:top w:val="single" w:color="auto" w:sz="4" w:space="0"/>
              <w:left w:val="single" w:color="auto" w:sz="4" w:space="0"/>
              <w:bottom w:val="single" w:color="auto" w:sz="4" w:space="0"/>
              <w:right w:val="single" w:color="000000" w:sz="4" w:space="0"/>
            </w:tcBorders>
            <w:vAlign w:val="center"/>
          </w:tcPr>
          <w:p>
            <w:pPr>
              <w:widowControl/>
              <w:ind w:firstLine="210" w:firstLineChars="100"/>
              <w:jc w:val="both"/>
              <w:rPr>
                <w:rFonts w:hint="default" w:eastAsia="宋体"/>
                <w:lang w:val="en-US" w:eastAsia="zh-CN"/>
              </w:rPr>
            </w:pPr>
            <w:r>
              <w:rPr>
                <w:rFonts w:hint="eastAsia"/>
                <w:lang w:val="en-US" w:eastAsia="zh-CN"/>
              </w:rPr>
              <w:t>100%</w:t>
            </w:r>
          </w:p>
        </w:tc>
        <w:tc>
          <w:tcPr>
            <w:tcW w:w="1108"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15</w:t>
            </w:r>
          </w:p>
        </w:tc>
        <w:tc>
          <w:tcPr>
            <w:tcW w:w="99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17"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21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kern w:val="0"/>
                <w:sz w:val="24"/>
                <w:lang w:val="en-US" w:eastAsia="zh-CN"/>
              </w:rPr>
            </w:pPr>
            <w:r>
              <w:rPr>
                <w:rFonts w:hint="eastAsia"/>
                <w:kern w:val="0"/>
                <w:sz w:val="24"/>
                <w:lang w:val="en-US" w:eastAsia="zh-CN"/>
              </w:rPr>
              <w:t>通过市、区两级审核</w:t>
            </w:r>
          </w:p>
        </w:tc>
        <w:tc>
          <w:tcPr>
            <w:tcW w:w="975" w:type="dxa"/>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100%</w:t>
            </w:r>
          </w:p>
        </w:tc>
        <w:tc>
          <w:tcPr>
            <w:tcW w:w="110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21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kern w:val="0"/>
                <w:sz w:val="24"/>
                <w:lang w:val="en-US" w:eastAsia="zh-CN"/>
              </w:rPr>
            </w:pPr>
            <w:r>
              <w:rPr>
                <w:rFonts w:hint="eastAsia"/>
                <w:kern w:val="0"/>
                <w:sz w:val="24"/>
                <w:lang w:val="en-US" w:eastAsia="zh-CN"/>
              </w:rPr>
              <w:t>完成时间</w:t>
            </w:r>
          </w:p>
        </w:tc>
        <w:tc>
          <w:tcPr>
            <w:tcW w:w="975" w:type="dxa"/>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2023.9.30</w:t>
            </w:r>
          </w:p>
        </w:tc>
        <w:tc>
          <w:tcPr>
            <w:tcW w:w="1108"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bookmarkStart w:id="0" w:name="_GoBack"/>
            <w:bookmarkEnd w:id="0"/>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2170"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kern w:val="0"/>
                <w:sz w:val="24"/>
              </w:rPr>
            </w:pPr>
            <w:r>
              <w:rPr>
                <w:rFonts w:hint="eastAsia"/>
              </w:rPr>
              <w:t>经费预算控制数</w:t>
            </w:r>
          </w:p>
        </w:tc>
        <w:tc>
          <w:tcPr>
            <w:tcW w:w="975" w:type="dxa"/>
            <w:tcBorders>
              <w:top w:val="single" w:color="auto" w:sz="4" w:space="0"/>
              <w:left w:val="nil"/>
              <w:bottom w:val="single" w:color="auto" w:sz="4" w:space="0"/>
              <w:right w:val="single" w:color="auto" w:sz="4" w:space="0"/>
            </w:tcBorders>
            <w:shd w:val="clear" w:color="000000" w:fill="FFFFFF"/>
            <w:vAlign w:val="center"/>
          </w:tcPr>
          <w:p>
            <w:r>
              <w:rPr>
                <w:rFonts w:hint="eastAsia"/>
                <w:lang w:val="en-US" w:eastAsia="zh-CN"/>
              </w:rPr>
              <w:t>104</w:t>
            </w:r>
            <w:r>
              <w:rPr>
                <w:rFonts w:hint="eastAsia"/>
              </w:rPr>
              <w:t>万元</w:t>
            </w:r>
          </w:p>
        </w:tc>
        <w:tc>
          <w:tcPr>
            <w:tcW w:w="1108"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hint="eastAsia" w:ascii="宋体" w:hAnsi="宋体" w:cs="宋体"/>
                <w:color w:val="000000"/>
                <w:kern w:val="0"/>
                <w:sz w:val="24"/>
                <w:lang w:val="en-US"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21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对存量违法建设治理，对新生违法建设严管严控，实现动态“零增长”的目标</w:t>
            </w:r>
          </w:p>
        </w:tc>
        <w:tc>
          <w:tcPr>
            <w:tcW w:w="975" w:type="dxa"/>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rPr>
              <w:t>有</w:t>
            </w:r>
            <w:r>
              <w:rPr>
                <w:rFonts w:hint="eastAsia"/>
                <w:lang w:val="en-US" w:eastAsia="zh-CN"/>
              </w:rPr>
              <w:t>所提升</w:t>
            </w:r>
          </w:p>
        </w:tc>
        <w:tc>
          <w:tcPr>
            <w:tcW w:w="1108"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4"/>
                <w:lang w:val="en-US"/>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170"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违法建设拆除后重新利用还绿，生态环境改善</w:t>
            </w:r>
          </w:p>
        </w:tc>
        <w:tc>
          <w:tcPr>
            <w:tcW w:w="975" w:type="dxa"/>
            <w:tcBorders>
              <w:top w:val="single" w:color="auto" w:sz="4" w:space="0"/>
              <w:left w:val="nil"/>
              <w:bottom w:val="single" w:color="auto" w:sz="4" w:space="0"/>
              <w:right w:val="single" w:color="auto" w:sz="4" w:space="0"/>
            </w:tcBorders>
            <w:vAlign w:val="center"/>
          </w:tcPr>
          <w:p>
            <w:pPr>
              <w:jc w:val="center"/>
            </w:pPr>
            <w:r>
              <w:rPr>
                <w:rFonts w:hint="eastAsia"/>
              </w:rPr>
              <w:t>有所提升</w:t>
            </w:r>
          </w:p>
        </w:tc>
        <w:tc>
          <w:tcPr>
            <w:tcW w:w="1108"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　</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w:t>
            </w:r>
            <w:r>
              <w:rPr>
                <w:rFonts w:hint="eastAsia" w:ascii="宋体" w:hAnsi="宋体" w:cs="宋体"/>
                <w:color w:val="000000"/>
                <w:kern w:val="0"/>
                <w:sz w:val="24"/>
              </w:rPr>
              <w:t>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21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社会评价及廉政反馈情况</w:t>
            </w:r>
          </w:p>
        </w:tc>
        <w:tc>
          <w:tcPr>
            <w:tcW w:w="975" w:type="dxa"/>
            <w:tcBorders>
              <w:top w:val="single" w:color="auto" w:sz="4" w:space="0"/>
              <w:left w:val="nil"/>
              <w:bottom w:val="single" w:color="auto" w:sz="4" w:space="0"/>
              <w:right w:val="single" w:color="auto" w:sz="4" w:space="0"/>
            </w:tcBorders>
            <w:vAlign w:val="center"/>
          </w:tcPr>
          <w:p>
            <w:pPr>
              <w:jc w:val="center"/>
            </w:pPr>
            <w:r>
              <w:rPr>
                <w:rFonts w:hint="eastAsia"/>
              </w:rPr>
              <w:t>比较满意</w:t>
            </w:r>
          </w:p>
        </w:tc>
        <w:tc>
          <w:tcPr>
            <w:tcW w:w="1108" w:type="dxa"/>
            <w:gridSpan w:val="4"/>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20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53" w:hRule="atLeast"/>
        </w:trPr>
        <w:tc>
          <w:tcPr>
            <w:tcW w:w="8755" w:type="dxa"/>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100</w:t>
            </w:r>
          </w:p>
        </w:tc>
      </w:tr>
    </w:tbl>
    <w:p>
      <w:pPr>
        <w:widowControl/>
        <w:rPr>
          <w:rFonts w:ascii="仿宋_GB2312" w:eastAsia="仿宋_GB2312"/>
          <w:sz w:val="32"/>
          <w:szCs w:val="32"/>
        </w:rPr>
      </w:pPr>
    </w:p>
    <w:sectPr>
      <w:pgSz w:w="11907" w:h="16840"/>
      <w:pgMar w:top="1440" w:right="650" w:bottom="1440" w:left="75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mNzdiZTVmOWVjYzliOWJiMDEwNDM1NmZlOTZlMjkifQ=="/>
  </w:docVars>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3CC058D"/>
    <w:rsid w:val="09FD0D99"/>
    <w:rsid w:val="12762D89"/>
    <w:rsid w:val="22D56551"/>
    <w:rsid w:val="28503FEF"/>
    <w:rsid w:val="2AC443F3"/>
    <w:rsid w:val="2CF077F9"/>
    <w:rsid w:val="325C2CBB"/>
    <w:rsid w:val="33554BCC"/>
    <w:rsid w:val="34C77B92"/>
    <w:rsid w:val="3BA80795"/>
    <w:rsid w:val="471423FC"/>
    <w:rsid w:val="4F6F3786"/>
    <w:rsid w:val="5B6B16FA"/>
    <w:rsid w:val="5CD61BFF"/>
    <w:rsid w:val="5D6D2549"/>
    <w:rsid w:val="64AA2E81"/>
    <w:rsid w:val="67B271D2"/>
    <w:rsid w:val="6FCE6041"/>
    <w:rsid w:val="7332053A"/>
    <w:rsid w:val="74865314"/>
    <w:rsid w:val="74BF20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188</Words>
  <Characters>1074</Characters>
  <Lines>8</Lines>
  <Paragraphs>2</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2021-02-02T12:29:00Z</cp:lastPrinted>
  <dcterms:modified xsi:type="dcterms:W3CDTF">2024-08-19T09:01:53Z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3EFBC7EBA21A4D509BEFD4ACE679C9F3_12</vt:lpwstr>
  </property>
</Properties>
</file>