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北京市大兴区市场监督管理局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2024年执法统计年报</w:t>
      </w:r>
    </w:p>
    <w:bookmarkEnd w:id="0"/>
    <w:p>
      <w:pPr>
        <w:widowControl w:val="0"/>
        <w:wordWrap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按照《北京市行政执法公示办法》第十七条的规定，结合行政执法统计年报的相关要求通知，现将大兴区市场监督管理局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年行政执法实际情况报告如下：</w:t>
      </w:r>
    </w:p>
    <w:p>
      <w:pPr>
        <w:widowControl w:val="0"/>
        <w:numPr>
          <w:ilvl w:val="0"/>
          <w:numId w:val="1"/>
        </w:numPr>
        <w:wordWrap/>
        <w:spacing w:beforeAutospacing="0" w:afterAutospacing="0" w:line="560" w:lineRule="exact"/>
        <w:ind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行政执法机关的执法主体名称和数量情况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对外执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法主体1个，名称为北京市大兴区市场监督管理局。</w:t>
      </w:r>
    </w:p>
    <w:p>
      <w:pPr>
        <w:widowControl w:val="0"/>
        <w:numPr>
          <w:ilvl w:val="0"/>
          <w:numId w:val="0"/>
        </w:numPr>
        <w:wordWrap/>
        <w:spacing w:beforeAutospacing="0" w:afterAutospacing="0" w:line="560" w:lineRule="exact"/>
        <w:ind w:right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 xml:space="preserve">二、各执法主体的执法岗位设置及执法人员在岗情况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有执法证的执法人员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val="en-US" w:eastAsia="zh-CN"/>
        </w:rPr>
        <w:t>382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名。局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机关下设科室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所属事业单位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个；设置市场监管综合执法大队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内设3个科室、3个直属分队、17个属地分队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现有派驻机构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个。</w:t>
      </w:r>
    </w:p>
    <w:p>
      <w:pPr>
        <w:widowControl w:val="0"/>
        <w:numPr>
          <w:ilvl w:val="0"/>
          <w:numId w:val="0"/>
        </w:numPr>
        <w:wordWrap/>
        <w:spacing w:beforeAutospacing="0" w:afterAutospacing="0" w:line="560" w:lineRule="exact"/>
        <w:ind w:right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三、执法力量投入情况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年度我局A岗人员参与执法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率</w:t>
      </w:r>
      <w:r>
        <w:rPr>
          <w:rFonts w:hint="eastAsia" w:ascii="仿宋_GB2312" w:hAnsi="仿宋_GB2312" w:cs="仿宋_GB2312"/>
        </w:rPr>
        <w:t>92.27%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完成行政执法检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查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19655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spacing w:beforeAutospacing="0" w:afterAutospacing="0" w:line="560" w:lineRule="exact"/>
        <w:ind w:leftChars="200" w:right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/>
        </w:rPr>
        <w:t>四、</w:t>
      </w:r>
      <w:bookmarkStart w:id="1" w:name="OLE_LINK6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政务服务事项的办理情况</w:t>
      </w:r>
    </w:p>
    <w:p>
      <w:pPr>
        <w:adjustRightInd/>
        <w:spacing w:line="560" w:lineRule="exact"/>
        <w:ind w:firstLine="640" w:firstLineChars="200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</w:rPr>
        <w:t>年度本部门办理企业设立登记2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/>
          <w:lang w:val="en-US" w:eastAsia="zh-CN"/>
        </w:rPr>
        <w:t>1525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</w:rPr>
        <w:t>户，办理企业变更及备案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/>
          <w:lang w:val="en-US" w:eastAsia="zh-CN"/>
        </w:rPr>
        <w:t>57418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</w:rPr>
        <w:t>户，办理企业注销登记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/>
          <w:lang w:val="en-US" w:eastAsia="zh-CN"/>
        </w:rPr>
        <w:t>6042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</w:rPr>
        <w:t>户；办理个体工商户设立登记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/>
          <w:lang w:val="en-US" w:eastAsia="zh-CN"/>
        </w:rPr>
        <w:t>3324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</w:rPr>
        <w:t>户，变更及备案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/>
          <w:lang w:val="en-US" w:eastAsia="zh-CN"/>
        </w:rPr>
        <w:t>1879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</w:rPr>
        <w:t>户，注销登记1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/>
          <w:lang w:val="en-US" w:eastAsia="zh-CN"/>
        </w:rPr>
        <w:t>784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</w:rPr>
        <w:t xml:space="preserve"> 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bookmarkEnd w:id="1"/>
    <w:p>
      <w:pPr>
        <w:widowControl w:val="0"/>
        <w:numPr>
          <w:ilvl w:val="0"/>
          <w:numId w:val="2"/>
        </w:numPr>
        <w:wordWrap/>
        <w:spacing w:beforeAutospacing="0" w:afterAutospacing="0" w:line="560" w:lineRule="exact"/>
        <w:ind w:leftChars="200" w:right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bookmarkStart w:id="2" w:name="OLE_LINK1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执法检查计划执行情况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2024年，本部门开展双随机抽查任务 10批次，涉及主体 128户次；开展部门联合双随机抽查任务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/>
          <w:lang w:val="en-US" w:eastAsia="zh-CN"/>
        </w:rPr>
        <w:t>98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批次，涉及检查主体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/>
          <w:lang w:val="en-US" w:eastAsia="zh-CN"/>
        </w:rPr>
        <w:t>4153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户次。</w:t>
      </w:r>
      <w:bookmarkEnd w:id="2"/>
    </w:p>
    <w:p>
      <w:pPr>
        <w:adjustRightIn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行政处罚、行政强制等案件的办理情况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年度本部门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处罚总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计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3816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件，罚没款总计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995.6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万元。其中：查办食品安全监管案件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1492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企业监管案件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1464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件，产品质量案件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169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价格监管案件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广告监管案件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案件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公平竞争案件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消费者权益保护案件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知识产权案件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件，药品监管案件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件，特种设备案件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</w:rPr>
        <w:t>标准化监管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eastAsia="zh-CN"/>
        </w:rPr>
        <w:t>案件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83件，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化妆品案件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件，医疗器械案件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件，市场规范管理案件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件，教育监管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件，商务领域执法案件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件，合同监管案件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件，认证、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民族、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质量发展和其他案件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 w:val="0"/>
        <w:numPr>
          <w:ilvl w:val="0"/>
          <w:numId w:val="3"/>
        </w:numPr>
        <w:wordWrap/>
        <w:spacing w:beforeAutospacing="0" w:afterAutospacing="0" w:line="560" w:lineRule="exact"/>
        <w:ind w:leftChars="0" w:right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bookmarkStart w:id="3" w:name="OLE_LINK4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投诉、举报案件的受理和分类办理情况</w:t>
      </w:r>
    </w:p>
    <w:bookmarkEnd w:id="3"/>
    <w:p>
      <w:pPr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eastAsia="zh-CN"/>
        </w:rPr>
      </w:pPr>
      <w:bookmarkStart w:id="4" w:name="OLE_LINK5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/>
          <w:lang w:eastAsia="zh-CN"/>
        </w:rPr>
        <w:t>2024年我局实际承办12345接诉即办工单42274件，占全区实际承办量的近10.07%。案件诉求热点问题主要为食品安全、商品质量、预付费纠纷、网络交易、价格类等。其中商品服务质量类工单共12118件，占承办总量的28.67%； 食品安全类工单7318件，占承办总量的17.31 %；预付费纠纷工单 6019件，占承办总量的14.24%；网络交易工单2760件，占承办总量的6.53%；价格类工单2150件，占承办总量的5.09%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23232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八、行政执法机关认为需要公示的其他情况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C4BE4"/>
    <w:multiLevelType w:val="singleLevel"/>
    <w:tmpl w:val="955C4BE4"/>
    <w:lvl w:ilvl="0" w:tentative="0">
      <w:start w:val="7"/>
      <w:numFmt w:val="chineseCounting"/>
      <w:suff w:val="nothing"/>
      <w:lvlText w:val="%1、"/>
      <w:lvlJc w:val="left"/>
      <w:pPr>
        <w:ind w:left="640"/>
      </w:pPr>
      <w:rPr>
        <w:rFonts w:hint="eastAsia"/>
      </w:rPr>
    </w:lvl>
  </w:abstractNum>
  <w:abstractNum w:abstractNumId="1">
    <w:nsid w:val="F41698A0"/>
    <w:multiLevelType w:val="singleLevel"/>
    <w:tmpl w:val="F41698A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DE8423"/>
    <w:multiLevelType w:val="singleLevel"/>
    <w:tmpl w:val="61DE842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437B9"/>
    <w:rsid w:val="03EA0382"/>
    <w:rsid w:val="0E1537C1"/>
    <w:rsid w:val="26597F19"/>
    <w:rsid w:val="26AE0DFC"/>
    <w:rsid w:val="2F125265"/>
    <w:rsid w:val="33176FBB"/>
    <w:rsid w:val="35E20CEE"/>
    <w:rsid w:val="4D6437B9"/>
    <w:rsid w:val="5FCB637F"/>
    <w:rsid w:val="62254170"/>
    <w:rsid w:val="63F3191E"/>
    <w:rsid w:val="74D22120"/>
    <w:rsid w:val="7AB26687"/>
    <w:rsid w:val="7FF4177D"/>
    <w:rsid w:val="7F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2025-01-02T03:12:00Z</dcterms:created>
  <dc:creator>赵楠</dc:creator>
  <cp:lastModifiedBy>赵楠</cp:lastModifiedBy>
  <dcterms:modified xsi:type="dcterms:W3CDTF">2025-01-22T02:26:03Z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